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654" w:rsidRDefault="00A55654" w:rsidP="0008455A">
      <w:pPr>
        <w:jc w:val="center"/>
        <w:rPr>
          <w:b/>
        </w:rPr>
      </w:pPr>
      <w:bookmarkStart w:id="0" w:name="_GoBack"/>
      <w:bookmarkEnd w:id="0"/>
      <w:r w:rsidRPr="00196C42">
        <w:rPr>
          <w:b/>
        </w:rPr>
        <w:t>Categorii de cheltuieli</w:t>
      </w:r>
    </w:p>
    <w:p w:rsidR="0064468F" w:rsidRPr="00196C42" w:rsidRDefault="0064468F" w:rsidP="0008455A">
      <w:pPr>
        <w:jc w:val="center"/>
        <w:rPr>
          <w:b/>
          <w:caps/>
        </w:rPr>
      </w:pPr>
    </w:p>
    <w:p w:rsidR="00A55654" w:rsidRDefault="00A55654" w:rsidP="00823463">
      <w:pPr>
        <w:jc w:val="center"/>
        <w:rPr>
          <w:b/>
          <w:caps/>
          <w:sz w:val="20"/>
          <w:szCs w:val="20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4"/>
        <w:gridCol w:w="6096"/>
      </w:tblGrid>
      <w:tr w:rsidR="00D40C0B" w:rsidRPr="0085792B" w:rsidTr="00A46300">
        <w:trPr>
          <w:tblHeader/>
        </w:trPr>
        <w:tc>
          <w:tcPr>
            <w:tcW w:w="3984" w:type="dxa"/>
            <w:shd w:val="clear" w:color="auto" w:fill="92D050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792B">
              <w:rPr>
                <w:b/>
                <w:color w:val="000000"/>
                <w:sz w:val="20"/>
                <w:szCs w:val="20"/>
              </w:rPr>
              <w:t>Categorii cheltuieli</w:t>
            </w:r>
          </w:p>
        </w:tc>
        <w:tc>
          <w:tcPr>
            <w:tcW w:w="6096" w:type="dxa"/>
            <w:shd w:val="clear" w:color="auto" w:fill="92D050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792B">
              <w:rPr>
                <w:b/>
                <w:color w:val="000000"/>
                <w:sz w:val="20"/>
                <w:szCs w:val="20"/>
              </w:rPr>
              <w:t>Subcategorie cheltuieli</w:t>
            </w:r>
          </w:p>
        </w:tc>
      </w:tr>
      <w:tr w:rsidR="00D40C0B" w:rsidRPr="0085792B" w:rsidTr="00A46300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D40C0B" w:rsidRPr="00877067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77067">
              <w:rPr>
                <w:noProof w:val="0"/>
                <w:color w:val="000000"/>
                <w:sz w:val="20"/>
                <w:szCs w:val="20"/>
              </w:rPr>
              <w:t>1 - cheltuieli aferente contribuției în natură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877067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77067">
              <w:rPr>
                <w:noProof w:val="0"/>
                <w:color w:val="000000"/>
                <w:sz w:val="20"/>
                <w:szCs w:val="20"/>
              </w:rPr>
              <w:t>1 - cheltuieli aferente contribuției în natură</w:t>
            </w:r>
          </w:p>
        </w:tc>
      </w:tr>
      <w:tr w:rsidR="00D40C0B" w:rsidRPr="0085792B" w:rsidTr="00A46300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D40C0B" w:rsidRPr="0085246D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6 - cheltuieli cu achiziția de mijloace de transport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85246D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cu achiziția de mijloace de transport indispensabile pentru atingerea obiectivului operatiunii</w:t>
            </w:r>
          </w:p>
        </w:tc>
      </w:tr>
      <w:tr w:rsidR="00D40C0B" w:rsidRPr="0085792B" w:rsidTr="00A46300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7 – cheltuieli cu auditul achiziționat de beneficiar pentru proiect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15 – cheltuieli cu auditul achiziționat de beneficiar pentru proiect</w:t>
            </w:r>
          </w:p>
        </w:tc>
      </w:tr>
      <w:tr w:rsidR="00D40C0B" w:rsidRPr="0085792B" w:rsidTr="00A46300">
        <w:trPr>
          <w:trHeight w:val="281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8 – cheltuieli de informare, comunicare și publicitate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17 – cheltuieli de informare și publicitate pentru proiect, care rezultă din obligațiile beneficiarului</w:t>
            </w:r>
          </w:p>
        </w:tc>
      </w:tr>
      <w:tr w:rsidR="00D40C0B" w:rsidRPr="0085792B" w:rsidTr="00A46300">
        <w:trPr>
          <w:trHeight w:val="104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 xml:space="preserve">9 – cheltuieli aferente managementului de proiect 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21 – cheltuieli salariale cu echipa de management proiect</w:t>
            </w:r>
            <w:r>
              <w:rPr>
                <w:color w:val="000000"/>
                <w:sz w:val="20"/>
                <w:szCs w:val="20"/>
              </w:rPr>
              <w:t xml:space="preserve"> (UIP)</w:t>
            </w:r>
          </w:p>
        </w:tc>
      </w:tr>
      <w:tr w:rsidR="00D40C0B" w:rsidRPr="0085792B" w:rsidTr="00A46300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29 – cheltuieli cu servicii de management proiect</w:t>
            </w:r>
            <w:r>
              <w:rPr>
                <w:color w:val="000000"/>
                <w:sz w:val="20"/>
                <w:szCs w:val="20"/>
              </w:rPr>
              <w:t xml:space="preserve"> (UIP)</w:t>
            </w:r>
          </w:p>
        </w:tc>
      </w:tr>
      <w:tr w:rsidR="00D40C0B" w:rsidRPr="0085792B" w:rsidTr="00A46300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5664D3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D40C0B" w:rsidRPr="0085792B" w:rsidTr="00A46300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5664D3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D40C0B" w:rsidRPr="0085792B" w:rsidTr="00A46300">
        <w:trPr>
          <w:trHeight w:val="125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12 – cheltuieli pentru obținerea și amenajarea terenului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34 - cheltuieli pentru achiziția terenului, cu sau fără construcți</w:t>
            </w:r>
            <w:r>
              <w:rPr>
                <w:color w:val="000000"/>
                <w:sz w:val="20"/>
                <w:szCs w:val="20"/>
              </w:rPr>
              <w:t>i</w:t>
            </w:r>
          </w:p>
        </w:tc>
      </w:tr>
      <w:tr w:rsidR="00D40C0B" w:rsidRPr="0085792B" w:rsidTr="00A46300">
        <w:trPr>
          <w:trHeight w:val="10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38 – cheltuieli pentru amenajarea terenului</w:t>
            </w:r>
          </w:p>
        </w:tc>
      </w:tr>
      <w:tr w:rsidR="00D40C0B" w:rsidRPr="0085792B" w:rsidTr="00A46300">
        <w:trPr>
          <w:trHeight w:val="333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39 – cheltuieli cu amenajări pentru protecţia mediului şi aducerea la starea iniţială</w:t>
            </w:r>
          </w:p>
        </w:tc>
      </w:tr>
      <w:tr w:rsidR="00D40C0B" w:rsidRPr="0085792B" w:rsidTr="00A46300">
        <w:trPr>
          <w:trHeight w:val="58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13 – cheltuieli pentru asigurarea utilităţilor necesare obiectivului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40 – cheltuieli pentru asigurarea utilităţilor necesare obiectivului</w:t>
            </w:r>
          </w:p>
        </w:tc>
      </w:tr>
      <w:tr w:rsidR="00D40C0B" w:rsidRPr="0085792B" w:rsidTr="00A46300">
        <w:trPr>
          <w:trHeight w:val="135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14 – cheltuieli pentru proiectare și asistență tehnică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42 – studii de tere</w:t>
            </w:r>
          </w:p>
        </w:tc>
      </w:tr>
      <w:tr w:rsidR="00D40C0B" w:rsidRPr="0085792B" w:rsidTr="00A46300">
        <w:trPr>
          <w:trHeight w:val="227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43 – cheltuieli pentru obținere avize, acorduri, autorizații</w:t>
            </w:r>
          </w:p>
        </w:tc>
      </w:tr>
      <w:tr w:rsidR="00D40C0B" w:rsidRPr="0085792B" w:rsidTr="00A46300">
        <w:trPr>
          <w:trHeight w:val="177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44 – proiectare și inginerie</w:t>
            </w:r>
          </w:p>
        </w:tc>
      </w:tr>
      <w:tr w:rsidR="00D40C0B" w:rsidRPr="0085792B" w:rsidTr="00A46300">
        <w:trPr>
          <w:trHeight w:val="603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47 – cheltuieli pentru organizarea procedurilor de achiziţie</w:t>
            </w:r>
          </w:p>
        </w:tc>
      </w:tr>
      <w:tr w:rsidR="00D40C0B" w:rsidRPr="0085792B" w:rsidTr="00A46300">
        <w:trPr>
          <w:trHeight w:val="495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48 – cheltuieli pentru consultant în elaborare studii de piață/evaluare</w:t>
            </w:r>
          </w:p>
        </w:tc>
      </w:tr>
      <w:tr w:rsidR="00D40C0B" w:rsidRPr="0085792B" w:rsidTr="00A46300">
        <w:trPr>
          <w:trHeight w:val="278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49 – cheltuieli pentru consultant în domeniul managementului execuției</w:t>
            </w:r>
          </w:p>
        </w:tc>
      </w:tr>
      <w:tr w:rsidR="00D40C0B" w:rsidRPr="0085792B" w:rsidTr="00A46300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50 – cheltuieli cu asistență tehnică din partea proiectantului pe perioada de execuție</w:t>
            </w:r>
          </w:p>
        </w:tc>
      </w:tr>
      <w:tr w:rsidR="00D40C0B" w:rsidRPr="0085792B" w:rsidTr="00A46300">
        <w:trPr>
          <w:trHeight w:val="157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51 – cheltuieli cu plata diriginților de șantier</w:t>
            </w:r>
          </w:p>
        </w:tc>
      </w:tr>
      <w:tr w:rsidR="00D40C0B" w:rsidRPr="0085792B" w:rsidTr="00A46300">
        <w:trPr>
          <w:trHeight w:val="83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15 – cheltuieli pentru investiția de bază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53 – cheltuieli pentru construcții și instalații</w:t>
            </w:r>
          </w:p>
        </w:tc>
      </w:tr>
      <w:tr w:rsidR="00D40C0B" w:rsidRPr="0085792B" w:rsidTr="00A46300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54 – cheltuieli cu dotările (utilaje,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5792B">
              <w:rPr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D40C0B" w:rsidRPr="0085792B" w:rsidTr="00A46300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55 – cheltuieli cu active necorporale</w:t>
            </w:r>
          </w:p>
        </w:tc>
      </w:tr>
      <w:tr w:rsidR="00D40C0B" w:rsidRPr="0085792B" w:rsidTr="00A46300">
        <w:trPr>
          <w:trHeight w:val="149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16 – cheltuieli cu organizarea de șantier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57 – cheltuieli pentru lucrări de construcții și instalații aferente organizării de șantier</w:t>
            </w:r>
          </w:p>
        </w:tc>
      </w:tr>
      <w:tr w:rsidR="00D40C0B" w:rsidRPr="0085792B" w:rsidTr="00A46300">
        <w:trPr>
          <w:trHeight w:val="96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58 – cheltuieli conexe organizării de șantier</w:t>
            </w:r>
          </w:p>
        </w:tc>
      </w:tr>
      <w:tr w:rsidR="00D40C0B" w:rsidRPr="0085792B" w:rsidTr="00A46300">
        <w:trPr>
          <w:trHeight w:val="386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17 – cheltuieli pentru comisioane, cote, taxe, costul creditului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59 – cheltuieli pentru comisioane, cote, taxe, costul creditului</w:t>
            </w:r>
          </w:p>
        </w:tc>
      </w:tr>
      <w:tr w:rsidR="00D40C0B" w:rsidRPr="0085792B" w:rsidTr="00A46300">
        <w:trPr>
          <w:trHeight w:val="37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18 – cheltuieli diverse și neprevăzute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60 – cheltuieli diverse și neprevăzute</w:t>
            </w:r>
          </w:p>
        </w:tc>
      </w:tr>
      <w:tr w:rsidR="00D40C0B" w:rsidRPr="0085792B" w:rsidTr="00A46300">
        <w:trPr>
          <w:trHeight w:val="297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19 – cheltuieli pentru probe tehnologice și teste și predare la beneficiar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61 – cheltuieli pentru pregătirea personalului de exploatare</w:t>
            </w:r>
          </w:p>
        </w:tc>
      </w:tr>
      <w:tr w:rsidR="00D40C0B" w:rsidRPr="0085792B" w:rsidTr="00A46300">
        <w:trPr>
          <w:trHeight w:val="152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62 – cheltuieli pentru probe tehnologice și teste</w:t>
            </w:r>
          </w:p>
        </w:tc>
      </w:tr>
    </w:tbl>
    <w:p w:rsidR="00D40C0B" w:rsidRDefault="00D40C0B" w:rsidP="00823463">
      <w:pPr>
        <w:jc w:val="center"/>
        <w:rPr>
          <w:b/>
          <w:caps/>
          <w:sz w:val="20"/>
          <w:szCs w:val="20"/>
        </w:rPr>
      </w:pPr>
    </w:p>
    <w:p w:rsidR="00D40C0B" w:rsidRDefault="00D40C0B" w:rsidP="00823463">
      <w:pPr>
        <w:jc w:val="center"/>
        <w:rPr>
          <w:b/>
          <w:caps/>
          <w:sz w:val="20"/>
          <w:szCs w:val="20"/>
        </w:rPr>
      </w:pPr>
    </w:p>
    <w:p w:rsidR="00D40C0B" w:rsidRPr="0008455A" w:rsidRDefault="00D40C0B" w:rsidP="00823463">
      <w:pPr>
        <w:jc w:val="center"/>
        <w:rPr>
          <w:b/>
          <w:caps/>
          <w:sz w:val="20"/>
          <w:szCs w:val="20"/>
        </w:rPr>
      </w:pPr>
    </w:p>
    <w:p w:rsidR="00A55654" w:rsidRDefault="00A55654" w:rsidP="0056790C">
      <w:pPr>
        <w:rPr>
          <w:b/>
        </w:rPr>
      </w:pPr>
    </w:p>
    <w:sectPr w:rsidR="00A55654" w:rsidSect="00F13525">
      <w:headerReference w:type="default" r:id="rId9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B4E" w:rsidRDefault="00D05B4E" w:rsidP="0056790C">
      <w:r>
        <w:separator/>
      </w:r>
    </w:p>
  </w:endnote>
  <w:endnote w:type="continuationSeparator" w:id="0">
    <w:p w:rsidR="00D05B4E" w:rsidRDefault="00D05B4E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B4E" w:rsidRDefault="00D05B4E" w:rsidP="0056790C">
      <w:r>
        <w:separator/>
      </w:r>
    </w:p>
  </w:footnote>
  <w:footnote w:type="continuationSeparator" w:id="0">
    <w:p w:rsidR="00D05B4E" w:rsidRDefault="00D05B4E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654" w:rsidRPr="0090657F" w:rsidRDefault="0090657F" w:rsidP="0090657F">
    <w:pPr>
      <w:rPr>
        <w:b/>
        <w:sz w:val="16"/>
        <w:szCs w:val="16"/>
      </w:rPr>
    </w:pPr>
    <w:r w:rsidRPr="00890CE6">
      <w:rPr>
        <w:b/>
        <w:sz w:val="16"/>
        <w:szCs w:val="16"/>
      </w:rPr>
      <w:t>POIM</w:t>
    </w:r>
    <w:r>
      <w:rPr>
        <w:b/>
        <w:sz w:val="16"/>
        <w:szCs w:val="16"/>
      </w:rPr>
      <w:t xml:space="preserve"> 2014-2020</w:t>
    </w:r>
    <w:r w:rsidRPr="00890CE6">
      <w:rPr>
        <w:b/>
        <w:sz w:val="16"/>
        <w:szCs w:val="16"/>
      </w:rPr>
      <w:t xml:space="preserve">                   </w:t>
    </w:r>
    <w:r>
      <w:rPr>
        <w:b/>
        <w:sz w:val="16"/>
        <w:szCs w:val="16"/>
      </w:rPr>
      <w:t xml:space="preserve">                            </w:t>
    </w:r>
    <w:r w:rsidRPr="00890CE6">
      <w:rPr>
        <w:b/>
        <w:sz w:val="16"/>
        <w:szCs w:val="16"/>
      </w:rPr>
      <w:t xml:space="preserve">  </w:t>
    </w:r>
    <w:r>
      <w:rPr>
        <w:b/>
        <w:sz w:val="16"/>
        <w:szCs w:val="16"/>
      </w:rPr>
      <w:t xml:space="preserve">                                                               </w:t>
    </w:r>
    <w:r w:rsidR="00EE45CA">
      <w:rPr>
        <w:b/>
        <w:sz w:val="16"/>
        <w:szCs w:val="16"/>
      </w:rPr>
      <w:t xml:space="preserve">                           </w:t>
    </w:r>
    <w:r w:rsidRPr="00890CE6">
      <w:rPr>
        <w:b/>
        <w:sz w:val="16"/>
        <w:szCs w:val="16"/>
      </w:rPr>
      <w:t xml:space="preserve"> Anexa </w:t>
    </w:r>
    <w:r w:rsidR="006A3DB9">
      <w:rPr>
        <w:b/>
        <w:sz w:val="16"/>
        <w:szCs w:val="16"/>
      </w:rPr>
      <w:t>5</w:t>
    </w:r>
    <w:r>
      <w:rPr>
        <w:b/>
        <w:sz w:val="16"/>
        <w:szCs w:val="16"/>
      </w:rPr>
      <w:t>.</w:t>
    </w:r>
    <w:r w:rsidRPr="00890CE6">
      <w:rPr>
        <w:b/>
        <w:sz w:val="16"/>
        <w:szCs w:val="16"/>
      </w:rPr>
      <w:t xml:space="preserve"> </w:t>
    </w:r>
    <w:r w:rsidR="00EE45CA">
      <w:rPr>
        <w:b/>
        <w:sz w:val="16"/>
        <w:szCs w:val="16"/>
      </w:rPr>
      <w:t>Ghidul Solicitantului</w:t>
    </w:r>
    <w:r w:rsidRPr="00573C37">
      <w:rPr>
        <w:b/>
        <w:sz w:val="16"/>
        <w:szCs w:val="16"/>
      </w:rPr>
      <w:t>_OS 1.1 2.1 2.2.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oNotTrackMov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90C"/>
    <w:rsid w:val="00022505"/>
    <w:rsid w:val="000522D6"/>
    <w:rsid w:val="00054CDA"/>
    <w:rsid w:val="00060DCA"/>
    <w:rsid w:val="00060F38"/>
    <w:rsid w:val="000641E0"/>
    <w:rsid w:val="0008455A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0F7519"/>
    <w:rsid w:val="001005D4"/>
    <w:rsid w:val="00114E73"/>
    <w:rsid w:val="00123F2A"/>
    <w:rsid w:val="001530A6"/>
    <w:rsid w:val="00181556"/>
    <w:rsid w:val="00196C42"/>
    <w:rsid w:val="001B0B85"/>
    <w:rsid w:val="001C00B2"/>
    <w:rsid w:val="0020199D"/>
    <w:rsid w:val="00205283"/>
    <w:rsid w:val="00220CC3"/>
    <w:rsid w:val="00223F62"/>
    <w:rsid w:val="0023127C"/>
    <w:rsid w:val="0023446B"/>
    <w:rsid w:val="00241722"/>
    <w:rsid w:val="00242778"/>
    <w:rsid w:val="00243F96"/>
    <w:rsid w:val="00244C5F"/>
    <w:rsid w:val="00261D51"/>
    <w:rsid w:val="00277835"/>
    <w:rsid w:val="00290857"/>
    <w:rsid w:val="002A0084"/>
    <w:rsid w:val="002A2412"/>
    <w:rsid w:val="002B6A51"/>
    <w:rsid w:val="002C5F5D"/>
    <w:rsid w:val="002E0238"/>
    <w:rsid w:val="002E4FE2"/>
    <w:rsid w:val="002E6876"/>
    <w:rsid w:val="002F012B"/>
    <w:rsid w:val="002F31D2"/>
    <w:rsid w:val="002F4168"/>
    <w:rsid w:val="00303659"/>
    <w:rsid w:val="0030626B"/>
    <w:rsid w:val="00327FF3"/>
    <w:rsid w:val="00331601"/>
    <w:rsid w:val="003459A9"/>
    <w:rsid w:val="00346C46"/>
    <w:rsid w:val="00355BA3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92B7C"/>
    <w:rsid w:val="004A403D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31FB2"/>
    <w:rsid w:val="00536689"/>
    <w:rsid w:val="00542BE8"/>
    <w:rsid w:val="00550DDB"/>
    <w:rsid w:val="0056790C"/>
    <w:rsid w:val="00573815"/>
    <w:rsid w:val="0058237A"/>
    <w:rsid w:val="005953C0"/>
    <w:rsid w:val="005A72D9"/>
    <w:rsid w:val="005B53D7"/>
    <w:rsid w:val="005E553F"/>
    <w:rsid w:val="005F7281"/>
    <w:rsid w:val="00604EDC"/>
    <w:rsid w:val="0061740B"/>
    <w:rsid w:val="00636EEE"/>
    <w:rsid w:val="0064278D"/>
    <w:rsid w:val="0064468F"/>
    <w:rsid w:val="00657BBE"/>
    <w:rsid w:val="00675E5E"/>
    <w:rsid w:val="00693585"/>
    <w:rsid w:val="006A3DB9"/>
    <w:rsid w:val="006B0E4C"/>
    <w:rsid w:val="006C5B66"/>
    <w:rsid w:val="006D3B48"/>
    <w:rsid w:val="006E53AE"/>
    <w:rsid w:val="006F2C42"/>
    <w:rsid w:val="007138AA"/>
    <w:rsid w:val="0072540B"/>
    <w:rsid w:val="00725571"/>
    <w:rsid w:val="0073733B"/>
    <w:rsid w:val="007409DB"/>
    <w:rsid w:val="00746A9C"/>
    <w:rsid w:val="00780D0D"/>
    <w:rsid w:val="00784300"/>
    <w:rsid w:val="0078507D"/>
    <w:rsid w:val="007B2E26"/>
    <w:rsid w:val="007C5164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65AA0"/>
    <w:rsid w:val="00871C80"/>
    <w:rsid w:val="0087290B"/>
    <w:rsid w:val="008A7B74"/>
    <w:rsid w:val="008B5B40"/>
    <w:rsid w:val="008E58C7"/>
    <w:rsid w:val="008F2A6D"/>
    <w:rsid w:val="008F3BAF"/>
    <w:rsid w:val="008F680A"/>
    <w:rsid w:val="0090657F"/>
    <w:rsid w:val="009212D5"/>
    <w:rsid w:val="00933706"/>
    <w:rsid w:val="00940966"/>
    <w:rsid w:val="00940AFA"/>
    <w:rsid w:val="00952A85"/>
    <w:rsid w:val="00952FF6"/>
    <w:rsid w:val="00961FC8"/>
    <w:rsid w:val="00976F7C"/>
    <w:rsid w:val="00984701"/>
    <w:rsid w:val="009976EE"/>
    <w:rsid w:val="009D31F4"/>
    <w:rsid w:val="00A0033D"/>
    <w:rsid w:val="00A01424"/>
    <w:rsid w:val="00A0694E"/>
    <w:rsid w:val="00A11B18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7B7B"/>
    <w:rsid w:val="00B0281C"/>
    <w:rsid w:val="00B11BB5"/>
    <w:rsid w:val="00B17E22"/>
    <w:rsid w:val="00B40481"/>
    <w:rsid w:val="00B4470F"/>
    <w:rsid w:val="00B5471F"/>
    <w:rsid w:val="00B74883"/>
    <w:rsid w:val="00B75DF8"/>
    <w:rsid w:val="00B8571A"/>
    <w:rsid w:val="00B9226E"/>
    <w:rsid w:val="00B938AF"/>
    <w:rsid w:val="00BA634D"/>
    <w:rsid w:val="00BB07DC"/>
    <w:rsid w:val="00BB7CD1"/>
    <w:rsid w:val="00BB7FCB"/>
    <w:rsid w:val="00BD6F8C"/>
    <w:rsid w:val="00BE4806"/>
    <w:rsid w:val="00C006AE"/>
    <w:rsid w:val="00C138D5"/>
    <w:rsid w:val="00C14F01"/>
    <w:rsid w:val="00C27C9D"/>
    <w:rsid w:val="00C32438"/>
    <w:rsid w:val="00C37BA9"/>
    <w:rsid w:val="00C46232"/>
    <w:rsid w:val="00C5373E"/>
    <w:rsid w:val="00C64CDF"/>
    <w:rsid w:val="00C65A87"/>
    <w:rsid w:val="00CB46D4"/>
    <w:rsid w:val="00CF2AFF"/>
    <w:rsid w:val="00D050E1"/>
    <w:rsid w:val="00D05B4E"/>
    <w:rsid w:val="00D21181"/>
    <w:rsid w:val="00D22E93"/>
    <w:rsid w:val="00D40C0B"/>
    <w:rsid w:val="00D43251"/>
    <w:rsid w:val="00D462C1"/>
    <w:rsid w:val="00D62948"/>
    <w:rsid w:val="00D6357F"/>
    <w:rsid w:val="00D70CBE"/>
    <w:rsid w:val="00D760FA"/>
    <w:rsid w:val="00D86E0D"/>
    <w:rsid w:val="00D95444"/>
    <w:rsid w:val="00DB019D"/>
    <w:rsid w:val="00DB1E1E"/>
    <w:rsid w:val="00DE29E6"/>
    <w:rsid w:val="00DE4DC9"/>
    <w:rsid w:val="00DE60C4"/>
    <w:rsid w:val="00E24987"/>
    <w:rsid w:val="00E33146"/>
    <w:rsid w:val="00E35E75"/>
    <w:rsid w:val="00E40FF3"/>
    <w:rsid w:val="00E720EF"/>
    <w:rsid w:val="00E855D4"/>
    <w:rsid w:val="00E86854"/>
    <w:rsid w:val="00EA020E"/>
    <w:rsid w:val="00EA0452"/>
    <w:rsid w:val="00EA142A"/>
    <w:rsid w:val="00EA3C16"/>
    <w:rsid w:val="00EB1670"/>
    <w:rsid w:val="00EC6371"/>
    <w:rsid w:val="00EC7B4A"/>
    <w:rsid w:val="00ED0CDB"/>
    <w:rsid w:val="00EE2537"/>
    <w:rsid w:val="00EE45CA"/>
    <w:rsid w:val="00F13418"/>
    <w:rsid w:val="00F13525"/>
    <w:rsid w:val="00F534D4"/>
    <w:rsid w:val="00F76CDE"/>
    <w:rsid w:val="00F940D0"/>
    <w:rsid w:val="00FA4A1A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eastAsia="Calibri" w:hAnsi="Times New Roman Bold"/>
      <w:b/>
      <w:smallCaps/>
      <w:noProof w:val="0"/>
      <w:color w:val="FFFFF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noProof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rFonts w:eastAsia="Calibri"/>
      <w:bCs/>
      <w:i/>
      <w:noProof w:val="0"/>
      <w:color w:val="000000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eastAsia="Calibri" w:hAnsi="Calibri Light"/>
      <w:noProof w:val="0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Calibri"/>
      <w:noProof w:val="0"/>
      <w:szCs w:val="20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rFonts w:eastAsia="Calibri"/>
      <w:noProof w:val="0"/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rFonts w:eastAsia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0"/>
      <w:szCs w:val="20"/>
      <w:vertAlign w:val="superscript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font8">
    <w:name w:val="font8"/>
    <w:basedOn w:val="Normal"/>
    <w:rsid w:val="00B40481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eastAsia="ro-RO"/>
    </w:rPr>
  </w:style>
  <w:style w:type="paragraph" w:customStyle="1" w:styleId="xl120">
    <w:name w:val="xl120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1">
    <w:name w:val="xl12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2">
    <w:name w:val="xl12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23">
    <w:name w:val="xl12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4">
    <w:name w:val="xl124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5">
    <w:name w:val="xl125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6">
    <w:name w:val="xl12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7">
    <w:name w:val="xl12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28">
    <w:name w:val="xl12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9">
    <w:name w:val="xl129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0">
    <w:name w:val="xl13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31">
    <w:name w:val="xl131"/>
    <w:basedOn w:val="Normal"/>
    <w:rsid w:val="00B40481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2">
    <w:name w:val="xl132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33">
    <w:name w:val="xl133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4">
    <w:name w:val="xl134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5">
    <w:name w:val="xl135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6">
    <w:name w:val="xl136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7">
    <w:name w:val="xl13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38">
    <w:name w:val="xl13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9">
    <w:name w:val="xl13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0">
    <w:name w:val="xl140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41">
    <w:name w:val="xl141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2">
    <w:name w:val="xl142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3">
    <w:name w:val="xl143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4">
    <w:name w:val="xl144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45">
    <w:name w:val="xl145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6">
    <w:name w:val="xl146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color w:val="C5D9F1"/>
      <w:lang w:eastAsia="ro-RO"/>
    </w:rPr>
  </w:style>
  <w:style w:type="paragraph" w:customStyle="1" w:styleId="xl147">
    <w:name w:val="xl14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8">
    <w:name w:val="xl148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49">
    <w:name w:val="xl14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0">
    <w:name w:val="xl15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noProof w:val="0"/>
      <w:color w:val="FF0000"/>
      <w:lang w:eastAsia="ro-RO"/>
    </w:rPr>
  </w:style>
  <w:style w:type="paragraph" w:customStyle="1" w:styleId="xl151">
    <w:name w:val="xl15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2">
    <w:name w:val="xl15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53">
    <w:name w:val="xl15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4">
    <w:name w:val="xl154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5">
    <w:name w:val="xl155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6">
    <w:name w:val="xl15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7">
    <w:name w:val="xl157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8">
    <w:name w:val="xl158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9">
    <w:name w:val="xl15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0">
    <w:name w:val="xl160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1">
    <w:name w:val="xl16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</w:pPr>
    <w:rPr>
      <w:noProof w:val="0"/>
      <w:lang w:eastAsia="ro-RO"/>
    </w:rPr>
  </w:style>
  <w:style w:type="paragraph" w:customStyle="1" w:styleId="xl162">
    <w:name w:val="xl162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3">
    <w:name w:val="xl16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64">
    <w:name w:val="xl164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5">
    <w:name w:val="xl165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6">
    <w:name w:val="xl16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7">
    <w:name w:val="xl16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68">
    <w:name w:val="xl16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69">
    <w:name w:val="xl16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0">
    <w:name w:val="xl17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1">
    <w:name w:val="xl171"/>
    <w:basedOn w:val="Normal"/>
    <w:rsid w:val="00B40481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72">
    <w:name w:val="xl172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3">
    <w:name w:val="xl173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74">
    <w:name w:val="xl174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75">
    <w:name w:val="xl175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6">
    <w:name w:val="xl176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77">
    <w:name w:val="xl177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8">
    <w:name w:val="xl178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9">
    <w:name w:val="xl179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80">
    <w:name w:val="xl180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81">
    <w:name w:val="xl181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</w:pPr>
    <w:rPr>
      <w:noProof w:val="0"/>
      <w:lang w:eastAsia="ro-RO"/>
    </w:rPr>
  </w:style>
  <w:style w:type="paragraph" w:customStyle="1" w:styleId="xl182">
    <w:name w:val="xl18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</w:pPr>
    <w:rPr>
      <w:noProof w:val="0"/>
      <w:lang w:eastAsia="ro-RO"/>
    </w:rPr>
  </w:style>
  <w:style w:type="paragraph" w:customStyle="1" w:styleId="xl183">
    <w:name w:val="xl183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84">
    <w:name w:val="xl184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54105-E950-41AE-8E17-ACCCB7306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Delia Ionica</cp:lastModifiedBy>
  <cp:revision>27</cp:revision>
  <cp:lastPrinted>2016-03-16T13:50:00Z</cp:lastPrinted>
  <dcterms:created xsi:type="dcterms:W3CDTF">2016-03-21T21:45:00Z</dcterms:created>
  <dcterms:modified xsi:type="dcterms:W3CDTF">2016-05-30T00:10:00Z</dcterms:modified>
</cp:coreProperties>
</file>