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r>
        <w:t xml:space="preserve">          </w:t>
      </w:r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  <w:bookmarkStart w:id="0" w:name="_GoBack"/>
      <w:bookmarkEnd w:id="0"/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</w:t>
      </w:r>
      <w:r w:rsidR="002074CD">
        <w:t>, după caz</w:t>
      </w:r>
      <w: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258" w:rsidRDefault="00A52258" w:rsidP="0056790C">
      <w:r>
        <w:separator/>
      </w:r>
    </w:p>
  </w:endnote>
  <w:endnote w:type="continuationSeparator" w:id="0">
    <w:p w:rsidR="00A52258" w:rsidRDefault="00A5225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258" w:rsidRDefault="00A52258" w:rsidP="0056790C">
      <w:r>
        <w:separator/>
      </w:r>
    </w:p>
  </w:footnote>
  <w:footnote w:type="continuationSeparator" w:id="0">
    <w:p w:rsidR="00A52258" w:rsidRDefault="00A5225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</w:t>
    </w:r>
    <w:r w:rsidR="006F634E">
      <w:rPr>
        <w:sz w:val="16"/>
        <w:szCs w:val="16"/>
      </w:rPr>
      <w:t xml:space="preserve">                            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>OS 6.</w:t>
    </w:r>
    <w:r w:rsidR="00393305">
      <w:rPr>
        <w:sz w:val="16"/>
        <w:szCs w:val="16"/>
      </w:rPr>
      <w:t>1- producţie</w:t>
    </w:r>
    <w:r w:rsidR="008055F5">
      <w:rPr>
        <w:sz w:val="16"/>
        <w:szCs w:val="16"/>
      </w:rPr>
      <w:t>– Anexa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B7202"/>
    <w:rsid w:val="001C00B2"/>
    <w:rsid w:val="0020199D"/>
    <w:rsid w:val="00205283"/>
    <w:rsid w:val="002074CD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93305"/>
    <w:rsid w:val="003D0557"/>
    <w:rsid w:val="003F540F"/>
    <w:rsid w:val="00407063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9616C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6F634E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52258"/>
    <w:rsid w:val="00A76D77"/>
    <w:rsid w:val="00A83D10"/>
    <w:rsid w:val="00A91244"/>
    <w:rsid w:val="00AA26DC"/>
    <w:rsid w:val="00AE6767"/>
    <w:rsid w:val="00AF0408"/>
    <w:rsid w:val="00AF1CF4"/>
    <w:rsid w:val="00B11BB5"/>
    <w:rsid w:val="00B17E22"/>
    <w:rsid w:val="00B5471F"/>
    <w:rsid w:val="00B74883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A6FA0"/>
    <w:rsid w:val="00EC6371"/>
    <w:rsid w:val="00EC7B4A"/>
    <w:rsid w:val="00ED0CDB"/>
    <w:rsid w:val="00EF5A5C"/>
    <w:rsid w:val="00F13525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89AF5E-9010-44AD-B158-33ECA1EF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 ionica</cp:lastModifiedBy>
  <cp:revision>12</cp:revision>
  <dcterms:created xsi:type="dcterms:W3CDTF">2016-02-25T13:23:00Z</dcterms:created>
  <dcterms:modified xsi:type="dcterms:W3CDTF">2017-05-16T12:47:00Z</dcterms:modified>
</cp:coreProperties>
</file>