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4D52F" w14:textId="0523E130" w:rsidR="00DB69FD" w:rsidRPr="00444264" w:rsidRDefault="00DB69FD" w:rsidP="00DB69FD">
      <w:pPr>
        <w:spacing w:after="0"/>
        <w:jc w:val="right"/>
        <w:rPr>
          <w:rFonts w:asciiTheme="minorHAnsi" w:hAnsiTheme="minorHAnsi" w:cstheme="minorHAnsi"/>
          <w:b/>
          <w:sz w:val="24"/>
        </w:rPr>
      </w:pPr>
      <w:r w:rsidRPr="00444264">
        <w:rPr>
          <w:rFonts w:asciiTheme="minorHAnsi" w:hAnsiTheme="minorHAnsi" w:cstheme="minorHAnsi"/>
          <w:b/>
          <w:sz w:val="24"/>
        </w:rPr>
        <w:t>ANEXA I</w:t>
      </w:r>
    </w:p>
    <w:p w14:paraId="2AEFD0D0" w14:textId="77777777" w:rsidR="00DB69FD" w:rsidRPr="00444264" w:rsidRDefault="00DB69FD" w:rsidP="00DB69FD">
      <w:pPr>
        <w:spacing w:after="0"/>
        <w:rPr>
          <w:rFonts w:asciiTheme="minorHAnsi" w:hAnsiTheme="minorHAnsi" w:cstheme="minorHAnsi"/>
          <w:sz w:val="24"/>
        </w:rPr>
      </w:pPr>
    </w:p>
    <w:p w14:paraId="4EE35905" w14:textId="0173B04D" w:rsidR="00DB69FD" w:rsidRPr="00444264" w:rsidRDefault="004729DE" w:rsidP="0004584D">
      <w:pPr>
        <w:spacing w:before="0" w:after="0"/>
        <w:jc w:val="both"/>
        <w:rPr>
          <w:rFonts w:asciiTheme="minorHAnsi" w:hAnsiTheme="minorHAnsi" w:cstheme="minorHAnsi"/>
          <w:sz w:val="24"/>
        </w:rPr>
      </w:pPr>
      <w:bookmarkStart w:id="0" w:name="_Hlk138891330"/>
      <w:r w:rsidRPr="00444264">
        <w:rPr>
          <w:rFonts w:asciiTheme="minorHAnsi" w:hAnsiTheme="minorHAnsi" w:cstheme="minorHAnsi"/>
          <w:sz w:val="24"/>
        </w:rPr>
        <w:t xml:space="preserve">Programul Regional Sud-Vest Oltenia </w:t>
      </w:r>
      <w:r w:rsidR="00DB69FD" w:rsidRPr="00444264">
        <w:rPr>
          <w:rFonts w:asciiTheme="minorHAnsi" w:hAnsiTheme="minorHAnsi" w:cstheme="minorHAnsi"/>
          <w:sz w:val="24"/>
        </w:rPr>
        <w:t>2021-2027</w:t>
      </w:r>
    </w:p>
    <w:p w14:paraId="02DAF2B5" w14:textId="58DA8ED2" w:rsidR="00DB69FD" w:rsidRPr="00444264" w:rsidRDefault="00DB69FD" w:rsidP="0004584D">
      <w:pPr>
        <w:spacing w:before="0" w:after="0"/>
        <w:jc w:val="both"/>
        <w:rPr>
          <w:rFonts w:asciiTheme="minorHAnsi" w:hAnsiTheme="minorHAnsi" w:cstheme="minorHAnsi"/>
          <w:sz w:val="24"/>
        </w:rPr>
      </w:pPr>
      <w:r w:rsidRPr="00444264">
        <w:rPr>
          <w:rFonts w:asciiTheme="minorHAnsi" w:hAnsiTheme="minorHAnsi" w:cstheme="minorHAnsi"/>
          <w:sz w:val="24"/>
        </w:rPr>
        <w:t>Prioritate: P1</w:t>
      </w:r>
      <w:r w:rsidR="004729DE" w:rsidRPr="00444264">
        <w:rPr>
          <w:rFonts w:asciiTheme="minorHAnsi" w:hAnsiTheme="minorHAnsi" w:cstheme="minorHAnsi"/>
          <w:sz w:val="24"/>
        </w:rPr>
        <w:t xml:space="preserve"> - </w:t>
      </w:r>
      <w:r w:rsidRPr="00444264">
        <w:rPr>
          <w:rFonts w:asciiTheme="minorHAnsi" w:hAnsiTheme="minorHAnsi" w:cstheme="minorHAnsi"/>
          <w:sz w:val="24"/>
        </w:rPr>
        <w:t>Competitivitate prin inovare și întreprinderi dinamice</w:t>
      </w:r>
    </w:p>
    <w:p w14:paraId="249DADB9" w14:textId="2D2E66E8" w:rsidR="00DB69FD" w:rsidRPr="00444264" w:rsidRDefault="00DB69FD" w:rsidP="0004584D">
      <w:pPr>
        <w:spacing w:before="0" w:after="0"/>
        <w:jc w:val="both"/>
        <w:rPr>
          <w:rFonts w:asciiTheme="minorHAnsi" w:hAnsiTheme="minorHAnsi" w:cstheme="minorHAnsi"/>
          <w:sz w:val="24"/>
        </w:rPr>
      </w:pPr>
      <w:r w:rsidRPr="00444264">
        <w:rPr>
          <w:rFonts w:asciiTheme="minorHAnsi" w:hAnsiTheme="minorHAnsi" w:cstheme="minorHAnsi"/>
          <w:sz w:val="24"/>
        </w:rPr>
        <w:t xml:space="preserve">Obiectiv specific: </w:t>
      </w:r>
      <w:r w:rsidR="0004584D" w:rsidRPr="00444264">
        <w:rPr>
          <w:rFonts w:asciiTheme="minorHAnsi" w:hAnsiTheme="minorHAnsi" w:cstheme="minorHAnsi"/>
          <w:sz w:val="24"/>
        </w:rPr>
        <w:t>I</w:t>
      </w:r>
      <w:r w:rsidR="004729DE" w:rsidRPr="00444264">
        <w:rPr>
          <w:rFonts w:asciiTheme="minorHAnsi" w:hAnsiTheme="minorHAnsi" w:cstheme="minorHAnsi"/>
          <w:sz w:val="24"/>
        </w:rPr>
        <w:t>ntensificarea creșterii sustenabile și creșterea competitivității IMM-urilor și crearea de locuri de muncă în cadrul IMM-urilor, inclusiv prin investiții productive</w:t>
      </w:r>
    </w:p>
    <w:p w14:paraId="501E4CE1" w14:textId="5FD5AFF5" w:rsidR="00DB69FD" w:rsidRPr="00444264" w:rsidRDefault="00DB69FD" w:rsidP="0004584D">
      <w:pPr>
        <w:spacing w:before="0" w:after="0"/>
        <w:jc w:val="both"/>
        <w:rPr>
          <w:rFonts w:asciiTheme="minorHAnsi" w:hAnsiTheme="minorHAnsi" w:cstheme="minorHAnsi"/>
          <w:sz w:val="24"/>
        </w:rPr>
      </w:pPr>
      <w:r w:rsidRPr="00444264">
        <w:rPr>
          <w:rFonts w:asciiTheme="minorHAnsi" w:hAnsiTheme="minorHAnsi" w:cstheme="minorHAnsi"/>
          <w:sz w:val="24"/>
        </w:rPr>
        <w:t xml:space="preserve">Apel de proiecte: </w:t>
      </w:r>
      <w:r w:rsidR="004729DE" w:rsidRPr="00444264">
        <w:rPr>
          <w:rFonts w:asciiTheme="minorHAnsi" w:hAnsiTheme="minorHAnsi" w:cstheme="minorHAnsi"/>
          <w:sz w:val="24"/>
        </w:rPr>
        <w:t xml:space="preserve">Parcuri industriale / </w:t>
      </w:r>
      <w:r w:rsidRPr="00444264">
        <w:rPr>
          <w:rFonts w:asciiTheme="minorHAnsi" w:hAnsiTheme="minorHAnsi" w:cstheme="minorHAnsi"/>
          <w:sz w:val="24"/>
        </w:rPr>
        <w:t>PR SV/C1/1/1.3/2023</w:t>
      </w:r>
      <w:bookmarkEnd w:id="0"/>
    </w:p>
    <w:p w14:paraId="6E3BF136" w14:textId="77777777" w:rsidR="004729DE" w:rsidRPr="00444264" w:rsidRDefault="004729DE" w:rsidP="0004584D">
      <w:pPr>
        <w:spacing w:before="0" w:after="0"/>
        <w:jc w:val="both"/>
        <w:rPr>
          <w:rFonts w:asciiTheme="minorHAnsi" w:hAnsiTheme="minorHAnsi" w:cstheme="minorHAnsi"/>
          <w:sz w:val="24"/>
        </w:rPr>
      </w:pPr>
    </w:p>
    <w:p w14:paraId="738376BB" w14:textId="77777777" w:rsidR="00DB69FD" w:rsidRPr="00444264" w:rsidRDefault="00DB69FD" w:rsidP="0044223E">
      <w:pPr>
        <w:spacing w:before="0" w:after="0" w:line="276" w:lineRule="auto"/>
        <w:rPr>
          <w:rFonts w:asciiTheme="minorHAnsi" w:hAnsiTheme="minorHAnsi" w:cstheme="minorHAnsi"/>
          <w:b/>
          <w:iCs/>
          <w:sz w:val="28"/>
          <w:szCs w:val="28"/>
        </w:rPr>
      </w:pPr>
    </w:p>
    <w:p w14:paraId="2D9AFFF0" w14:textId="773072ED" w:rsidR="00602B28" w:rsidRPr="00444264" w:rsidRDefault="00026AC2" w:rsidP="002E55DF">
      <w:pPr>
        <w:spacing w:line="276" w:lineRule="auto"/>
        <w:jc w:val="center"/>
        <w:rPr>
          <w:rFonts w:asciiTheme="minorHAnsi" w:hAnsiTheme="minorHAnsi" w:cstheme="minorHAnsi"/>
          <w:b/>
          <w:iCs/>
          <w:sz w:val="28"/>
          <w:szCs w:val="28"/>
        </w:rPr>
      </w:pPr>
      <w:r w:rsidRPr="00444264">
        <w:rPr>
          <w:rFonts w:asciiTheme="minorHAnsi" w:hAnsiTheme="minorHAnsi" w:cstheme="minorHAnsi"/>
          <w:b/>
          <w:iCs/>
          <w:sz w:val="28"/>
          <w:szCs w:val="28"/>
        </w:rPr>
        <w:t>Lista comună a acronimelor și abrevierilor/prescurtărilor utilizate</w:t>
      </w:r>
    </w:p>
    <w:p w14:paraId="73EC9829" w14:textId="77777777" w:rsidR="00B76126" w:rsidRPr="00444264" w:rsidRDefault="00B76126" w:rsidP="00E22C20">
      <w:pPr>
        <w:jc w:val="both"/>
        <w:rPr>
          <w:rFonts w:asciiTheme="minorHAnsi" w:eastAsia="SimSun" w:hAnsiTheme="minorHAnsi" w:cstheme="minorHAnsi"/>
          <w:b/>
          <w:bCs/>
        </w:rPr>
      </w:pPr>
    </w:p>
    <w:p w14:paraId="4E360092" w14:textId="69AC05B0" w:rsidR="00B76126" w:rsidRPr="00444264" w:rsidRDefault="00B76126" w:rsidP="00B76126">
      <w:pPr>
        <w:jc w:val="both"/>
        <w:rPr>
          <w:rFonts w:asciiTheme="minorHAnsi" w:hAnsiTheme="minorHAnsi" w:cstheme="minorHAnsi"/>
          <w:sz w:val="22"/>
          <w:szCs w:val="22"/>
        </w:rPr>
      </w:pPr>
      <w:r w:rsidRPr="00444264">
        <w:rPr>
          <w:rFonts w:asciiTheme="minorHAnsi" w:hAnsiTheme="minorHAnsi" w:cstheme="minorHAnsi"/>
          <w:b/>
          <w:sz w:val="22"/>
          <w:szCs w:val="22"/>
        </w:rPr>
        <w:t>AA -</w:t>
      </w:r>
      <w:r w:rsidRPr="00444264">
        <w:rPr>
          <w:rFonts w:asciiTheme="minorHAnsi" w:hAnsiTheme="minorHAnsi" w:cstheme="minorHAnsi"/>
          <w:sz w:val="22"/>
          <w:szCs w:val="22"/>
        </w:rPr>
        <w:t xml:space="preserve"> Autoritatea de Audit din cadrul Curții de Conturi a României</w:t>
      </w:r>
    </w:p>
    <w:p w14:paraId="402F4A7A" w14:textId="07631E30" w:rsidR="00B76126" w:rsidRPr="00444264" w:rsidRDefault="00B76126" w:rsidP="00B76126">
      <w:pPr>
        <w:jc w:val="both"/>
        <w:rPr>
          <w:rFonts w:asciiTheme="minorHAnsi" w:eastAsia="SimSun" w:hAnsiTheme="minorHAnsi" w:cstheme="minorHAnsi"/>
          <w:bCs/>
          <w:sz w:val="22"/>
          <w:szCs w:val="22"/>
        </w:rPr>
      </w:pPr>
      <w:r w:rsidRPr="00444264">
        <w:rPr>
          <w:rFonts w:asciiTheme="minorHAnsi" w:eastAsia="SimSun" w:hAnsiTheme="minorHAnsi" w:cstheme="minorHAnsi"/>
          <w:b/>
          <w:bCs/>
          <w:sz w:val="22"/>
          <w:szCs w:val="22"/>
        </w:rPr>
        <w:t>ACP</w:t>
      </w:r>
      <w:r w:rsidRPr="00444264">
        <w:rPr>
          <w:rFonts w:asciiTheme="minorHAnsi" w:eastAsia="SimSun" w:hAnsiTheme="minorHAnsi" w:cstheme="minorHAnsi"/>
          <w:bCs/>
          <w:sz w:val="22"/>
          <w:szCs w:val="22"/>
        </w:rPr>
        <w:t xml:space="preserve"> – Autoritatea de Certificare și Plată</w:t>
      </w:r>
    </w:p>
    <w:p w14:paraId="6B19C181" w14:textId="7EC27DF6" w:rsidR="00B40AE9" w:rsidRPr="00444264" w:rsidRDefault="00B40AE9" w:rsidP="004A2BAF">
      <w:pPr>
        <w:spacing w:line="276" w:lineRule="auto"/>
        <w:jc w:val="both"/>
        <w:rPr>
          <w:rFonts w:asciiTheme="minorHAnsi" w:hAnsiTheme="minorHAnsi" w:cstheme="minorHAnsi"/>
          <w:bCs/>
          <w:sz w:val="22"/>
          <w:szCs w:val="22"/>
        </w:rPr>
      </w:pPr>
      <w:r w:rsidRPr="00444264">
        <w:rPr>
          <w:rFonts w:asciiTheme="minorHAnsi" w:hAnsiTheme="minorHAnsi" w:cstheme="minorHAnsi"/>
          <w:b/>
          <w:sz w:val="22"/>
          <w:szCs w:val="22"/>
        </w:rPr>
        <w:t>ADR SVO</w:t>
      </w:r>
      <w:r w:rsidRPr="00444264">
        <w:rPr>
          <w:rFonts w:asciiTheme="minorHAnsi" w:hAnsiTheme="minorHAnsi" w:cstheme="minorHAnsi"/>
          <w:bCs/>
          <w:sz w:val="22"/>
          <w:szCs w:val="22"/>
        </w:rPr>
        <w:t xml:space="preserve"> - Agenția de Dezvoltare Regională Sud-Vest Oltenia</w:t>
      </w:r>
    </w:p>
    <w:p w14:paraId="3560E946" w14:textId="07CB813C" w:rsidR="00026AC2" w:rsidRPr="00444264" w:rsidRDefault="001F7F69" w:rsidP="004A2BAF">
      <w:pPr>
        <w:spacing w:line="276" w:lineRule="auto"/>
        <w:jc w:val="both"/>
        <w:rPr>
          <w:rFonts w:asciiTheme="minorHAnsi" w:hAnsiTheme="minorHAnsi" w:cstheme="minorHAnsi"/>
          <w:sz w:val="22"/>
          <w:szCs w:val="22"/>
        </w:rPr>
      </w:pPr>
      <w:r w:rsidRPr="00444264">
        <w:rPr>
          <w:rFonts w:asciiTheme="minorHAnsi" w:hAnsiTheme="minorHAnsi" w:cstheme="minorHAnsi"/>
          <w:b/>
          <w:sz w:val="22"/>
          <w:szCs w:val="22"/>
        </w:rPr>
        <w:t>AM PR SV</w:t>
      </w:r>
      <w:r w:rsidR="001E5E29" w:rsidRPr="00444264">
        <w:rPr>
          <w:rFonts w:asciiTheme="minorHAnsi" w:hAnsiTheme="minorHAnsi" w:cstheme="minorHAnsi"/>
          <w:b/>
          <w:sz w:val="22"/>
          <w:szCs w:val="22"/>
        </w:rPr>
        <w:t>O</w:t>
      </w:r>
      <w:r w:rsidRPr="00444264">
        <w:rPr>
          <w:rFonts w:asciiTheme="minorHAnsi" w:hAnsiTheme="minorHAnsi" w:cstheme="minorHAnsi"/>
          <w:sz w:val="22"/>
          <w:szCs w:val="22"/>
        </w:rPr>
        <w:t xml:space="preserve"> - Autoritatea de Management pentru Programul </w:t>
      </w:r>
      <w:r w:rsidR="007D6C8F" w:rsidRPr="00444264">
        <w:rPr>
          <w:rFonts w:asciiTheme="minorHAnsi" w:hAnsiTheme="minorHAnsi" w:cstheme="minorHAnsi"/>
          <w:sz w:val="22"/>
          <w:szCs w:val="22"/>
        </w:rPr>
        <w:t>Regional</w:t>
      </w:r>
      <w:r w:rsidRPr="00444264">
        <w:rPr>
          <w:rFonts w:asciiTheme="minorHAnsi" w:hAnsiTheme="minorHAnsi" w:cstheme="minorHAnsi"/>
          <w:sz w:val="22"/>
          <w:szCs w:val="22"/>
        </w:rPr>
        <w:t xml:space="preserve"> Sud-Vest Oltenia</w:t>
      </w:r>
    </w:p>
    <w:p w14:paraId="0AC699B2" w14:textId="47B48EEE" w:rsidR="005F45E8" w:rsidRPr="00444264" w:rsidRDefault="0041482D" w:rsidP="005F45E8">
      <w:pPr>
        <w:spacing w:after="0" w:line="276" w:lineRule="auto"/>
        <w:ind w:left="1410" w:hanging="1410"/>
        <w:jc w:val="both"/>
        <w:rPr>
          <w:rFonts w:asciiTheme="minorHAnsi" w:hAnsiTheme="minorHAnsi" w:cstheme="minorHAnsi"/>
          <w:sz w:val="22"/>
          <w:szCs w:val="22"/>
        </w:rPr>
      </w:pPr>
      <w:r w:rsidRPr="00444264">
        <w:rPr>
          <w:rFonts w:asciiTheme="minorHAnsi" w:hAnsiTheme="minorHAnsi" w:cstheme="minorHAnsi"/>
          <w:b/>
          <w:sz w:val="22"/>
          <w:szCs w:val="22"/>
        </w:rPr>
        <w:t>AP</w:t>
      </w:r>
      <w:r w:rsidRPr="00444264">
        <w:rPr>
          <w:rFonts w:asciiTheme="minorHAnsi" w:hAnsiTheme="minorHAnsi" w:cstheme="minorHAnsi"/>
          <w:sz w:val="22"/>
          <w:szCs w:val="22"/>
        </w:rPr>
        <w:t xml:space="preserve"> - Acordul de Parteneriat cu România, aprobat prin Decizia de punere în aplicare a Comisiei</w:t>
      </w:r>
    </w:p>
    <w:p w14:paraId="43D4212A" w14:textId="77537C87" w:rsidR="001E5E29" w:rsidRPr="00444264" w:rsidRDefault="001E5E29" w:rsidP="005F45E8">
      <w:pPr>
        <w:spacing w:after="0" w:line="276" w:lineRule="auto"/>
        <w:ind w:left="1410" w:hanging="1410"/>
        <w:jc w:val="both"/>
        <w:rPr>
          <w:rFonts w:asciiTheme="minorHAnsi" w:hAnsiTheme="minorHAnsi" w:cstheme="minorHAnsi"/>
          <w:sz w:val="22"/>
          <w:szCs w:val="22"/>
        </w:rPr>
      </w:pPr>
      <w:r w:rsidRPr="00444264">
        <w:rPr>
          <w:rFonts w:asciiTheme="minorHAnsi" w:hAnsiTheme="minorHAnsi" w:cstheme="minorHAnsi"/>
          <w:b/>
          <w:bCs/>
          <w:sz w:val="22"/>
          <w:szCs w:val="22"/>
        </w:rPr>
        <w:t xml:space="preserve">APL - </w:t>
      </w:r>
      <w:r w:rsidRPr="00444264">
        <w:rPr>
          <w:rFonts w:asciiTheme="minorHAnsi" w:hAnsiTheme="minorHAnsi" w:cstheme="minorHAnsi"/>
          <w:sz w:val="22"/>
          <w:szCs w:val="22"/>
        </w:rPr>
        <w:t>Autoritate publică locală</w:t>
      </w:r>
    </w:p>
    <w:p w14:paraId="3CAF85E0" w14:textId="1BACA6E4" w:rsidR="001E5E29" w:rsidRPr="00444264" w:rsidRDefault="001E5E29" w:rsidP="005F45E8">
      <w:pPr>
        <w:spacing w:after="0" w:line="276" w:lineRule="auto"/>
        <w:ind w:left="1410" w:hanging="1410"/>
        <w:jc w:val="both"/>
        <w:rPr>
          <w:rFonts w:asciiTheme="minorHAnsi" w:hAnsiTheme="minorHAnsi" w:cstheme="minorHAnsi"/>
          <w:sz w:val="22"/>
          <w:szCs w:val="22"/>
          <w:lang w:val="fr-FR"/>
        </w:rPr>
      </w:pPr>
      <w:r w:rsidRPr="00444264">
        <w:rPr>
          <w:rFonts w:asciiTheme="minorHAnsi" w:hAnsiTheme="minorHAnsi" w:cstheme="minorHAnsi"/>
          <w:b/>
          <w:bCs/>
          <w:sz w:val="22"/>
          <w:szCs w:val="22"/>
        </w:rPr>
        <w:t xml:space="preserve">AT - </w:t>
      </w:r>
      <w:r w:rsidRPr="00444264">
        <w:rPr>
          <w:rFonts w:asciiTheme="minorHAnsi" w:hAnsiTheme="minorHAnsi" w:cstheme="minorHAnsi"/>
          <w:sz w:val="22"/>
          <w:szCs w:val="22"/>
        </w:rPr>
        <w:t>Asistenţă Tehnică</w:t>
      </w:r>
    </w:p>
    <w:p w14:paraId="696AFFB7" w14:textId="79424C0B" w:rsidR="00026AC2" w:rsidRPr="00444264" w:rsidRDefault="00820BFD" w:rsidP="004A2BAF">
      <w:pPr>
        <w:jc w:val="both"/>
        <w:rPr>
          <w:rFonts w:asciiTheme="minorHAnsi" w:hAnsiTheme="minorHAnsi" w:cstheme="minorHAnsi"/>
          <w:sz w:val="22"/>
          <w:szCs w:val="22"/>
        </w:rPr>
      </w:pPr>
      <w:r w:rsidRPr="00444264">
        <w:rPr>
          <w:rFonts w:asciiTheme="minorHAnsi" w:hAnsiTheme="minorHAnsi" w:cstheme="minorHAnsi"/>
          <w:b/>
          <w:sz w:val="22"/>
          <w:szCs w:val="22"/>
        </w:rPr>
        <w:t>BS</w:t>
      </w:r>
      <w:r w:rsidRPr="00444264">
        <w:rPr>
          <w:rFonts w:asciiTheme="minorHAnsi" w:hAnsiTheme="minorHAnsi" w:cstheme="minorHAnsi"/>
          <w:sz w:val="22"/>
          <w:szCs w:val="22"/>
        </w:rPr>
        <w:t xml:space="preserve"> -</w:t>
      </w:r>
      <w:r w:rsidR="00026AC2" w:rsidRPr="00444264">
        <w:rPr>
          <w:rFonts w:asciiTheme="minorHAnsi" w:hAnsiTheme="minorHAnsi" w:cstheme="minorHAnsi"/>
          <w:sz w:val="22"/>
          <w:szCs w:val="22"/>
        </w:rPr>
        <w:t xml:space="preserve"> </w:t>
      </w:r>
      <w:r w:rsidR="00D97D4F" w:rsidRPr="00444264">
        <w:rPr>
          <w:rFonts w:asciiTheme="minorHAnsi" w:hAnsiTheme="minorHAnsi" w:cstheme="minorHAnsi"/>
          <w:sz w:val="22"/>
          <w:szCs w:val="22"/>
        </w:rPr>
        <w:t>Cofinanțare</w:t>
      </w:r>
      <w:r w:rsidR="00026AC2" w:rsidRPr="00444264">
        <w:rPr>
          <w:rFonts w:asciiTheme="minorHAnsi" w:hAnsiTheme="minorHAnsi" w:cstheme="minorHAnsi"/>
          <w:sz w:val="22"/>
          <w:szCs w:val="22"/>
        </w:rPr>
        <w:t xml:space="preserve"> de la </w:t>
      </w:r>
      <w:r w:rsidR="001E5E29" w:rsidRPr="00444264">
        <w:rPr>
          <w:rFonts w:asciiTheme="minorHAnsi" w:hAnsiTheme="minorHAnsi" w:cstheme="minorHAnsi"/>
          <w:sz w:val="22"/>
          <w:szCs w:val="22"/>
        </w:rPr>
        <w:t>B</w:t>
      </w:r>
      <w:r w:rsidR="00026AC2" w:rsidRPr="00444264">
        <w:rPr>
          <w:rFonts w:asciiTheme="minorHAnsi" w:hAnsiTheme="minorHAnsi" w:cstheme="minorHAnsi"/>
          <w:sz w:val="22"/>
          <w:szCs w:val="22"/>
        </w:rPr>
        <w:t xml:space="preserve">ugetul de </w:t>
      </w:r>
      <w:r w:rsidR="001E5E29" w:rsidRPr="00444264">
        <w:rPr>
          <w:rFonts w:asciiTheme="minorHAnsi" w:hAnsiTheme="minorHAnsi" w:cstheme="minorHAnsi"/>
          <w:sz w:val="22"/>
          <w:szCs w:val="22"/>
        </w:rPr>
        <w:t>S</w:t>
      </w:r>
      <w:r w:rsidR="00026AC2" w:rsidRPr="00444264">
        <w:rPr>
          <w:rFonts w:asciiTheme="minorHAnsi" w:hAnsiTheme="minorHAnsi" w:cstheme="minorHAnsi"/>
          <w:sz w:val="22"/>
          <w:szCs w:val="22"/>
        </w:rPr>
        <w:t>tat</w:t>
      </w:r>
    </w:p>
    <w:p w14:paraId="3EEE209F" w14:textId="1AA01C33" w:rsidR="00AC3EFD" w:rsidRPr="00444264" w:rsidRDefault="00AC3EFD" w:rsidP="004A2BAF">
      <w:pPr>
        <w:jc w:val="both"/>
        <w:rPr>
          <w:rFonts w:asciiTheme="minorHAnsi" w:hAnsiTheme="minorHAnsi" w:cstheme="minorHAnsi"/>
          <w:sz w:val="22"/>
          <w:szCs w:val="22"/>
        </w:rPr>
      </w:pPr>
      <w:r w:rsidRPr="00444264">
        <w:rPr>
          <w:rFonts w:asciiTheme="minorHAnsi" w:hAnsiTheme="minorHAnsi" w:cstheme="minorHAnsi"/>
          <w:b/>
          <w:sz w:val="22"/>
          <w:szCs w:val="22"/>
        </w:rPr>
        <w:t>CE</w:t>
      </w:r>
      <w:r w:rsidRPr="00444264">
        <w:rPr>
          <w:rFonts w:asciiTheme="minorHAnsi" w:hAnsiTheme="minorHAnsi" w:cstheme="minorHAnsi"/>
          <w:sz w:val="22"/>
          <w:szCs w:val="22"/>
        </w:rPr>
        <w:t xml:space="preserve"> - Comisia Europeană</w:t>
      </w:r>
    </w:p>
    <w:p w14:paraId="6103CAA4" w14:textId="2FA2E640" w:rsidR="007A5655" w:rsidRPr="00444264" w:rsidRDefault="007A5655" w:rsidP="004A2BAF">
      <w:pPr>
        <w:jc w:val="both"/>
        <w:rPr>
          <w:rFonts w:asciiTheme="minorHAnsi" w:hAnsiTheme="minorHAnsi" w:cstheme="minorHAnsi"/>
          <w:sz w:val="22"/>
          <w:szCs w:val="22"/>
        </w:rPr>
      </w:pPr>
      <w:r w:rsidRPr="00444264">
        <w:rPr>
          <w:rFonts w:asciiTheme="minorHAnsi" w:hAnsiTheme="minorHAnsi" w:cstheme="minorHAnsi"/>
          <w:b/>
          <w:bCs/>
          <w:sz w:val="22"/>
          <w:szCs w:val="22"/>
        </w:rPr>
        <w:t>CF</w:t>
      </w:r>
      <w:r w:rsidRPr="00444264">
        <w:rPr>
          <w:rFonts w:asciiTheme="minorHAnsi" w:hAnsiTheme="minorHAnsi" w:cstheme="minorHAnsi"/>
          <w:sz w:val="22"/>
          <w:szCs w:val="22"/>
        </w:rPr>
        <w:t xml:space="preserve"> - Cerere de finanțare</w:t>
      </w:r>
    </w:p>
    <w:p w14:paraId="45C13BCD" w14:textId="1832A336" w:rsidR="00BA75F3" w:rsidRPr="00444264" w:rsidRDefault="00BA75F3" w:rsidP="00BA75F3">
      <w:pPr>
        <w:pStyle w:val="qowt-stl-normal"/>
        <w:spacing w:before="0" w:beforeAutospacing="0" w:after="0" w:afterAutospacing="0"/>
        <w:jc w:val="both"/>
        <w:rPr>
          <w:rFonts w:asciiTheme="minorHAnsi" w:hAnsiTheme="minorHAnsi" w:cstheme="minorHAnsi"/>
          <w:sz w:val="22"/>
          <w:szCs w:val="22"/>
          <w:lang w:val="ro-RO"/>
        </w:rPr>
      </w:pPr>
      <w:r w:rsidRPr="00444264">
        <w:rPr>
          <w:rFonts w:asciiTheme="minorHAnsi" w:hAnsiTheme="minorHAnsi" w:cstheme="minorHAnsi"/>
          <w:b/>
          <w:sz w:val="22"/>
          <w:szCs w:val="22"/>
          <w:shd w:val="clear" w:color="auto" w:fill="FFFFFF"/>
          <w:lang w:val="ro-RO"/>
        </w:rPr>
        <w:t xml:space="preserve">DNSH </w:t>
      </w:r>
      <w:r w:rsidRPr="00444264">
        <w:rPr>
          <w:rFonts w:asciiTheme="minorHAnsi" w:hAnsiTheme="minorHAnsi" w:cstheme="minorHAnsi"/>
          <w:sz w:val="22"/>
          <w:szCs w:val="22"/>
          <w:shd w:val="clear" w:color="auto" w:fill="FFFFFF"/>
          <w:lang w:val="ro-RO"/>
        </w:rPr>
        <w:t xml:space="preserve">- Principiul de a nu „prejudicia în mod semnificativ” (do no </w:t>
      </w:r>
      <w:r w:rsidR="00D97D4F" w:rsidRPr="00444264">
        <w:rPr>
          <w:rFonts w:asciiTheme="minorHAnsi" w:hAnsiTheme="minorHAnsi" w:cstheme="minorHAnsi"/>
          <w:sz w:val="22"/>
          <w:szCs w:val="22"/>
          <w:shd w:val="clear" w:color="auto" w:fill="FFFFFF"/>
          <w:lang w:val="ro-RO"/>
        </w:rPr>
        <w:t>significant</w:t>
      </w:r>
      <w:r w:rsidRPr="00444264">
        <w:rPr>
          <w:rFonts w:asciiTheme="minorHAnsi" w:hAnsiTheme="minorHAnsi" w:cstheme="minorHAnsi"/>
          <w:sz w:val="22"/>
          <w:szCs w:val="22"/>
          <w:shd w:val="clear" w:color="auto" w:fill="FFFFFF"/>
          <w:lang w:val="ro-RO"/>
        </w:rPr>
        <w:t xml:space="preserve"> harm)</w:t>
      </w:r>
    </w:p>
    <w:p w14:paraId="7EEC8B79" w14:textId="77777777" w:rsidR="00820BFD" w:rsidRPr="00444264" w:rsidRDefault="00820BFD" w:rsidP="004A2BAF">
      <w:pPr>
        <w:jc w:val="both"/>
        <w:rPr>
          <w:rFonts w:asciiTheme="minorHAnsi" w:hAnsiTheme="minorHAnsi" w:cstheme="minorHAnsi"/>
          <w:sz w:val="22"/>
          <w:szCs w:val="22"/>
        </w:rPr>
      </w:pPr>
      <w:r w:rsidRPr="00444264">
        <w:rPr>
          <w:rFonts w:asciiTheme="minorHAnsi" w:hAnsiTheme="minorHAnsi" w:cstheme="minorHAnsi"/>
          <w:b/>
          <w:sz w:val="22"/>
          <w:szCs w:val="22"/>
        </w:rPr>
        <w:t xml:space="preserve">DUAE </w:t>
      </w:r>
      <w:r w:rsidRPr="00444264">
        <w:rPr>
          <w:rFonts w:asciiTheme="minorHAnsi" w:hAnsiTheme="minorHAnsi" w:cstheme="minorHAnsi"/>
          <w:sz w:val="22"/>
          <w:szCs w:val="22"/>
        </w:rPr>
        <w:t>- Document Unic pentru Achizițiile publice Europene</w:t>
      </w:r>
      <w:r w:rsidR="00123F22" w:rsidRPr="00444264">
        <w:rPr>
          <w:rFonts w:asciiTheme="minorHAnsi" w:hAnsiTheme="minorHAnsi" w:cstheme="minorHAnsi"/>
          <w:sz w:val="22"/>
          <w:szCs w:val="22"/>
        </w:rPr>
        <w:t>;</w:t>
      </w:r>
    </w:p>
    <w:p w14:paraId="2FE63178" w14:textId="0B669038" w:rsidR="00820BFD" w:rsidRPr="00444264" w:rsidRDefault="00820BFD" w:rsidP="004A2BAF">
      <w:pPr>
        <w:jc w:val="both"/>
        <w:rPr>
          <w:rFonts w:asciiTheme="minorHAnsi" w:eastAsia="SimSun" w:hAnsiTheme="minorHAnsi" w:cstheme="minorHAnsi"/>
          <w:bCs/>
          <w:sz w:val="22"/>
          <w:szCs w:val="22"/>
        </w:rPr>
      </w:pPr>
      <w:r w:rsidRPr="00444264">
        <w:rPr>
          <w:rFonts w:asciiTheme="minorHAnsi" w:eastAsia="SimSun" w:hAnsiTheme="minorHAnsi" w:cstheme="minorHAnsi"/>
          <w:b/>
          <w:bCs/>
          <w:sz w:val="22"/>
          <w:szCs w:val="22"/>
        </w:rPr>
        <w:t xml:space="preserve">EUR </w:t>
      </w:r>
      <w:r w:rsidR="00AC3EFD" w:rsidRPr="00444264">
        <w:rPr>
          <w:rFonts w:asciiTheme="minorHAnsi" w:eastAsia="SimSun" w:hAnsiTheme="minorHAnsi" w:cstheme="minorHAnsi"/>
          <w:bCs/>
          <w:sz w:val="22"/>
          <w:szCs w:val="22"/>
        </w:rPr>
        <w:t>–</w:t>
      </w:r>
      <w:r w:rsidRPr="00444264">
        <w:rPr>
          <w:rFonts w:asciiTheme="minorHAnsi" w:eastAsia="SimSun" w:hAnsiTheme="minorHAnsi" w:cstheme="minorHAnsi"/>
          <w:bCs/>
          <w:sz w:val="22"/>
          <w:szCs w:val="22"/>
        </w:rPr>
        <w:t xml:space="preserve"> Euro</w:t>
      </w:r>
    </w:p>
    <w:p w14:paraId="0B83E91A" w14:textId="6E783DD2" w:rsidR="007A5655" w:rsidRPr="00444264" w:rsidRDefault="007A5655" w:rsidP="004A2BAF">
      <w:pPr>
        <w:jc w:val="both"/>
        <w:rPr>
          <w:rFonts w:asciiTheme="minorHAnsi" w:eastAsia="SimSun" w:hAnsiTheme="minorHAnsi" w:cstheme="minorHAnsi"/>
          <w:bCs/>
          <w:sz w:val="22"/>
          <w:szCs w:val="22"/>
        </w:rPr>
      </w:pPr>
      <w:r w:rsidRPr="00444264">
        <w:rPr>
          <w:rFonts w:asciiTheme="minorHAnsi" w:eastAsia="SimSun" w:hAnsiTheme="minorHAnsi" w:cstheme="minorHAnsi"/>
          <w:b/>
          <w:bCs/>
          <w:sz w:val="22"/>
          <w:szCs w:val="22"/>
        </w:rPr>
        <w:t>ETF</w:t>
      </w:r>
      <w:r w:rsidRPr="00444264">
        <w:rPr>
          <w:rFonts w:asciiTheme="minorHAnsi" w:hAnsiTheme="minorHAnsi" w:cstheme="minorHAnsi"/>
          <w:b/>
          <w:bCs/>
          <w:sz w:val="22"/>
          <w:szCs w:val="22"/>
        </w:rPr>
        <w:t xml:space="preserve"> </w:t>
      </w:r>
      <w:r w:rsidRPr="00444264">
        <w:rPr>
          <w:rFonts w:asciiTheme="minorHAnsi" w:eastAsia="SimSun" w:hAnsiTheme="minorHAnsi" w:cstheme="minorHAnsi"/>
          <w:bCs/>
          <w:sz w:val="22"/>
          <w:szCs w:val="22"/>
        </w:rPr>
        <w:t>- Evaluarea tehnică și financiară</w:t>
      </w:r>
    </w:p>
    <w:p w14:paraId="6E5B3E8E" w14:textId="5655F0F2" w:rsidR="00820BFD" w:rsidRPr="00444264" w:rsidRDefault="00820BFD" w:rsidP="004A2BAF">
      <w:pPr>
        <w:spacing w:after="0" w:line="276" w:lineRule="auto"/>
        <w:jc w:val="both"/>
        <w:rPr>
          <w:rFonts w:asciiTheme="minorHAnsi" w:hAnsiTheme="minorHAnsi" w:cstheme="minorHAnsi"/>
          <w:sz w:val="22"/>
          <w:szCs w:val="22"/>
        </w:rPr>
      </w:pPr>
      <w:r w:rsidRPr="00444264">
        <w:rPr>
          <w:rFonts w:asciiTheme="minorHAnsi" w:hAnsiTheme="minorHAnsi" w:cstheme="minorHAnsi"/>
          <w:b/>
          <w:sz w:val="22"/>
          <w:szCs w:val="22"/>
        </w:rPr>
        <w:t xml:space="preserve">FEDR </w:t>
      </w:r>
      <w:r w:rsidRPr="00444264">
        <w:rPr>
          <w:rFonts w:asciiTheme="minorHAnsi" w:hAnsiTheme="minorHAnsi" w:cstheme="minorHAnsi"/>
          <w:sz w:val="22"/>
          <w:szCs w:val="22"/>
        </w:rPr>
        <w:t>- Fondul European de Dezvoltare Regională</w:t>
      </w:r>
    </w:p>
    <w:p w14:paraId="5337D0A6" w14:textId="7570956E" w:rsidR="007A5655" w:rsidRPr="00444264" w:rsidRDefault="007A5655" w:rsidP="004A2BAF">
      <w:pPr>
        <w:spacing w:after="0" w:line="276" w:lineRule="auto"/>
        <w:jc w:val="both"/>
        <w:rPr>
          <w:rFonts w:asciiTheme="minorHAnsi" w:hAnsiTheme="minorHAnsi" w:cstheme="minorHAnsi"/>
          <w:sz w:val="22"/>
          <w:szCs w:val="22"/>
        </w:rPr>
      </w:pPr>
      <w:r w:rsidRPr="00444264">
        <w:rPr>
          <w:rFonts w:asciiTheme="minorHAnsi" w:hAnsiTheme="minorHAnsi" w:cstheme="minorHAnsi"/>
          <w:b/>
          <w:bCs/>
          <w:sz w:val="22"/>
          <w:szCs w:val="22"/>
        </w:rPr>
        <w:t>FS</w:t>
      </w:r>
      <w:r w:rsidRPr="00444264">
        <w:rPr>
          <w:rFonts w:asciiTheme="minorHAnsi" w:hAnsiTheme="minorHAnsi" w:cstheme="minorHAnsi"/>
          <w:sz w:val="22"/>
          <w:szCs w:val="22"/>
        </w:rPr>
        <w:t xml:space="preserve"> - Fonduri Structurale</w:t>
      </w:r>
    </w:p>
    <w:p w14:paraId="3D7BBCEE" w14:textId="790F2D9E" w:rsidR="00820BFD" w:rsidRPr="00444264" w:rsidRDefault="00820BFD" w:rsidP="004A2BAF">
      <w:pPr>
        <w:spacing w:after="0" w:line="276" w:lineRule="auto"/>
        <w:jc w:val="both"/>
        <w:rPr>
          <w:rFonts w:asciiTheme="minorHAnsi" w:hAnsiTheme="minorHAnsi" w:cstheme="minorHAnsi"/>
          <w:sz w:val="22"/>
          <w:szCs w:val="22"/>
        </w:rPr>
      </w:pPr>
      <w:r w:rsidRPr="00444264">
        <w:rPr>
          <w:rFonts w:asciiTheme="minorHAnsi" w:hAnsiTheme="minorHAnsi" w:cstheme="minorHAnsi"/>
          <w:b/>
          <w:sz w:val="22"/>
          <w:szCs w:val="22"/>
        </w:rPr>
        <w:t>FSE</w:t>
      </w:r>
      <w:r w:rsidRPr="00444264">
        <w:rPr>
          <w:rFonts w:asciiTheme="minorHAnsi" w:hAnsiTheme="minorHAnsi" w:cstheme="minorHAnsi"/>
          <w:sz w:val="22"/>
          <w:szCs w:val="22"/>
        </w:rPr>
        <w:t>+ - Fondul Social European</w:t>
      </w:r>
    </w:p>
    <w:p w14:paraId="4F0BCD4D" w14:textId="3BD86E60" w:rsidR="00820BFD" w:rsidRPr="00444264" w:rsidRDefault="00820BFD" w:rsidP="004A2BAF">
      <w:pPr>
        <w:spacing w:line="276" w:lineRule="auto"/>
        <w:jc w:val="both"/>
        <w:rPr>
          <w:rFonts w:asciiTheme="minorHAnsi" w:hAnsiTheme="minorHAnsi" w:cstheme="minorHAnsi"/>
          <w:sz w:val="22"/>
          <w:szCs w:val="22"/>
        </w:rPr>
      </w:pPr>
      <w:r w:rsidRPr="00444264">
        <w:rPr>
          <w:rFonts w:asciiTheme="minorHAnsi" w:hAnsiTheme="minorHAnsi" w:cstheme="minorHAnsi"/>
          <w:b/>
          <w:sz w:val="22"/>
          <w:szCs w:val="22"/>
        </w:rPr>
        <w:t>FC</w:t>
      </w:r>
      <w:r w:rsidRPr="00444264">
        <w:rPr>
          <w:rFonts w:asciiTheme="minorHAnsi" w:hAnsiTheme="minorHAnsi" w:cstheme="minorHAnsi"/>
          <w:sz w:val="22"/>
          <w:szCs w:val="22"/>
        </w:rPr>
        <w:t xml:space="preserve"> - Fondul de Coeziune</w:t>
      </w:r>
    </w:p>
    <w:p w14:paraId="4E5666B4" w14:textId="74DC2084" w:rsidR="004361CB" w:rsidRPr="00444264" w:rsidRDefault="004361CB" w:rsidP="00675AE2">
      <w:pPr>
        <w:spacing w:after="0" w:line="276" w:lineRule="auto"/>
        <w:jc w:val="both"/>
        <w:rPr>
          <w:rFonts w:asciiTheme="minorHAnsi" w:hAnsiTheme="minorHAnsi" w:cstheme="minorHAnsi"/>
          <w:sz w:val="22"/>
          <w:szCs w:val="22"/>
        </w:rPr>
      </w:pPr>
      <w:r w:rsidRPr="00444264">
        <w:rPr>
          <w:rFonts w:asciiTheme="minorHAnsi" w:hAnsiTheme="minorHAnsi" w:cstheme="minorHAnsi"/>
          <w:b/>
          <w:sz w:val="22"/>
          <w:szCs w:val="22"/>
        </w:rPr>
        <w:t xml:space="preserve">FESI </w:t>
      </w:r>
      <w:r w:rsidRPr="00444264">
        <w:rPr>
          <w:rFonts w:asciiTheme="minorHAnsi" w:hAnsiTheme="minorHAnsi" w:cstheme="minorHAnsi"/>
          <w:sz w:val="22"/>
          <w:szCs w:val="22"/>
        </w:rPr>
        <w:t>- Fondurile Europene Structurale și de Investiții</w:t>
      </w:r>
    </w:p>
    <w:p w14:paraId="0B7AD4F1" w14:textId="4F2A31C1" w:rsidR="00AC3EFD" w:rsidRPr="00444264" w:rsidRDefault="00AC3EFD" w:rsidP="004A2BAF">
      <w:pPr>
        <w:jc w:val="both"/>
        <w:rPr>
          <w:rFonts w:asciiTheme="minorHAnsi" w:hAnsiTheme="minorHAnsi" w:cstheme="minorHAnsi"/>
          <w:sz w:val="22"/>
          <w:szCs w:val="22"/>
        </w:rPr>
      </w:pPr>
      <w:r w:rsidRPr="00444264">
        <w:rPr>
          <w:rFonts w:asciiTheme="minorHAnsi" w:hAnsiTheme="minorHAnsi" w:cstheme="minorHAnsi"/>
          <w:b/>
          <w:sz w:val="22"/>
          <w:szCs w:val="22"/>
        </w:rPr>
        <w:t>HG -</w:t>
      </w:r>
      <w:r w:rsidRPr="00444264">
        <w:rPr>
          <w:rFonts w:asciiTheme="minorHAnsi" w:hAnsiTheme="minorHAnsi" w:cstheme="minorHAnsi"/>
          <w:sz w:val="22"/>
          <w:szCs w:val="22"/>
        </w:rPr>
        <w:t xml:space="preserve"> Hotărâre </w:t>
      </w:r>
      <w:r w:rsidR="00F31E6E" w:rsidRPr="00444264">
        <w:rPr>
          <w:rFonts w:asciiTheme="minorHAnsi" w:hAnsiTheme="minorHAnsi" w:cstheme="minorHAnsi"/>
          <w:sz w:val="22"/>
          <w:szCs w:val="22"/>
        </w:rPr>
        <w:t>de</w:t>
      </w:r>
      <w:r w:rsidRPr="00444264">
        <w:rPr>
          <w:rFonts w:asciiTheme="minorHAnsi" w:hAnsiTheme="minorHAnsi" w:cstheme="minorHAnsi"/>
          <w:sz w:val="22"/>
          <w:szCs w:val="22"/>
        </w:rPr>
        <w:t xml:space="preserve"> Guvern</w:t>
      </w:r>
    </w:p>
    <w:p w14:paraId="17E6E92D" w14:textId="2B7F8793" w:rsidR="004361CB" w:rsidRPr="00444264" w:rsidRDefault="004361CB" w:rsidP="004A2BAF">
      <w:pPr>
        <w:jc w:val="both"/>
        <w:rPr>
          <w:rFonts w:asciiTheme="minorHAnsi" w:eastAsia="SimSun" w:hAnsiTheme="minorHAnsi" w:cstheme="minorHAnsi"/>
          <w:bCs/>
          <w:sz w:val="22"/>
          <w:szCs w:val="22"/>
        </w:rPr>
      </w:pPr>
      <w:r w:rsidRPr="00444264">
        <w:rPr>
          <w:rFonts w:asciiTheme="minorHAnsi" w:eastAsia="SimSun" w:hAnsiTheme="minorHAnsi" w:cstheme="minorHAnsi"/>
          <w:b/>
          <w:bCs/>
          <w:sz w:val="22"/>
          <w:szCs w:val="22"/>
        </w:rPr>
        <w:t>IF</w:t>
      </w:r>
      <w:r w:rsidRPr="00444264">
        <w:rPr>
          <w:rFonts w:asciiTheme="minorHAnsi" w:eastAsia="SimSun" w:hAnsiTheme="minorHAnsi" w:cstheme="minorHAnsi"/>
          <w:bCs/>
          <w:sz w:val="22"/>
          <w:szCs w:val="22"/>
        </w:rPr>
        <w:t xml:space="preserve"> – Instrumente financiare</w:t>
      </w:r>
    </w:p>
    <w:p w14:paraId="71D8C827" w14:textId="43F86676" w:rsidR="004361CB" w:rsidRPr="00444264" w:rsidRDefault="004361CB" w:rsidP="004A2BAF">
      <w:pPr>
        <w:jc w:val="both"/>
        <w:rPr>
          <w:rFonts w:asciiTheme="minorHAnsi" w:eastAsia="SimSun" w:hAnsiTheme="minorHAnsi" w:cstheme="minorHAnsi"/>
          <w:bCs/>
          <w:sz w:val="22"/>
          <w:szCs w:val="22"/>
        </w:rPr>
      </w:pPr>
      <w:r w:rsidRPr="00444264">
        <w:rPr>
          <w:rFonts w:asciiTheme="minorHAnsi" w:eastAsia="SimSun" w:hAnsiTheme="minorHAnsi" w:cstheme="minorHAnsi"/>
          <w:b/>
          <w:bCs/>
          <w:sz w:val="22"/>
          <w:szCs w:val="22"/>
        </w:rPr>
        <w:t>IMM</w:t>
      </w:r>
      <w:r w:rsidRPr="00444264">
        <w:rPr>
          <w:rFonts w:asciiTheme="minorHAnsi" w:eastAsia="SimSun" w:hAnsiTheme="minorHAnsi" w:cstheme="minorHAnsi"/>
          <w:bCs/>
          <w:sz w:val="22"/>
          <w:szCs w:val="22"/>
        </w:rPr>
        <w:t xml:space="preserve"> – Întreprinderi mici și mijlocii</w:t>
      </w:r>
    </w:p>
    <w:p w14:paraId="3D086EDB" w14:textId="50462FEC" w:rsidR="00F31E6E" w:rsidRPr="00444264" w:rsidRDefault="00F31E6E" w:rsidP="00F31E6E">
      <w:pPr>
        <w:jc w:val="both"/>
        <w:rPr>
          <w:rFonts w:asciiTheme="minorHAnsi" w:eastAsia="SimSun" w:hAnsiTheme="minorHAnsi" w:cstheme="minorHAnsi"/>
          <w:bCs/>
          <w:sz w:val="22"/>
          <w:szCs w:val="22"/>
        </w:rPr>
      </w:pPr>
      <w:r w:rsidRPr="00444264">
        <w:rPr>
          <w:rFonts w:asciiTheme="minorHAnsi" w:eastAsia="SimSun" w:hAnsiTheme="minorHAnsi" w:cstheme="minorHAnsi"/>
          <w:b/>
          <w:bCs/>
          <w:sz w:val="22"/>
          <w:szCs w:val="22"/>
        </w:rPr>
        <w:t xml:space="preserve">MCID - </w:t>
      </w:r>
      <w:r w:rsidRPr="00444264">
        <w:rPr>
          <w:rFonts w:asciiTheme="minorHAnsi" w:eastAsia="SimSun" w:hAnsiTheme="minorHAnsi" w:cstheme="minorHAnsi"/>
          <w:bCs/>
          <w:sz w:val="22"/>
          <w:szCs w:val="22"/>
        </w:rPr>
        <w:t>Ministerul Cercetării, Inovării și Digitalizării</w:t>
      </w:r>
    </w:p>
    <w:p w14:paraId="698A6073" w14:textId="67BF409D" w:rsidR="00F31E6E" w:rsidRPr="00444264" w:rsidRDefault="00F31E6E" w:rsidP="00F31E6E">
      <w:pPr>
        <w:jc w:val="both"/>
        <w:rPr>
          <w:rFonts w:asciiTheme="minorHAnsi" w:eastAsia="SimSun" w:hAnsiTheme="minorHAnsi" w:cstheme="minorHAnsi"/>
          <w:bCs/>
          <w:sz w:val="22"/>
          <w:szCs w:val="22"/>
        </w:rPr>
      </w:pPr>
      <w:r w:rsidRPr="00444264">
        <w:rPr>
          <w:rFonts w:asciiTheme="minorHAnsi" w:eastAsia="SimSun" w:hAnsiTheme="minorHAnsi" w:cstheme="minorHAnsi"/>
          <w:b/>
          <w:bCs/>
          <w:sz w:val="22"/>
          <w:szCs w:val="22"/>
        </w:rPr>
        <w:t xml:space="preserve">MDLPA - </w:t>
      </w:r>
      <w:r w:rsidRPr="00444264">
        <w:rPr>
          <w:rFonts w:asciiTheme="minorHAnsi" w:eastAsia="SimSun" w:hAnsiTheme="minorHAnsi" w:cstheme="minorHAnsi"/>
          <w:bCs/>
          <w:sz w:val="22"/>
          <w:szCs w:val="22"/>
        </w:rPr>
        <w:t xml:space="preserve">Ministerul Dezvoltării, Lucrărilor Publice şi Administrației </w:t>
      </w:r>
    </w:p>
    <w:p w14:paraId="7CA2FF94" w14:textId="158CC5A8" w:rsidR="00F31E6E" w:rsidRPr="00444264" w:rsidRDefault="00F31E6E" w:rsidP="00F31E6E">
      <w:pPr>
        <w:jc w:val="both"/>
        <w:rPr>
          <w:rFonts w:asciiTheme="minorHAnsi" w:eastAsia="SimSun" w:hAnsiTheme="minorHAnsi" w:cstheme="minorHAnsi"/>
          <w:bCs/>
          <w:sz w:val="22"/>
          <w:szCs w:val="22"/>
        </w:rPr>
      </w:pPr>
      <w:r w:rsidRPr="00444264">
        <w:rPr>
          <w:rFonts w:asciiTheme="minorHAnsi" w:eastAsia="SimSun" w:hAnsiTheme="minorHAnsi" w:cstheme="minorHAnsi"/>
          <w:b/>
          <w:bCs/>
          <w:sz w:val="22"/>
          <w:szCs w:val="22"/>
        </w:rPr>
        <w:t>MIPE</w:t>
      </w:r>
      <w:r w:rsidR="00744D2A" w:rsidRPr="00444264">
        <w:rPr>
          <w:rFonts w:asciiTheme="minorHAnsi" w:eastAsia="SimSun" w:hAnsiTheme="minorHAnsi" w:cstheme="minorHAnsi"/>
          <w:b/>
          <w:bCs/>
          <w:sz w:val="22"/>
          <w:szCs w:val="22"/>
        </w:rPr>
        <w:t>-</w:t>
      </w:r>
      <w:r w:rsidRPr="00444264">
        <w:rPr>
          <w:rFonts w:asciiTheme="minorHAnsi" w:eastAsia="SimSun" w:hAnsiTheme="minorHAnsi" w:cstheme="minorHAnsi"/>
          <w:b/>
          <w:bCs/>
          <w:sz w:val="22"/>
          <w:szCs w:val="22"/>
        </w:rPr>
        <w:t xml:space="preserve"> </w:t>
      </w:r>
      <w:r w:rsidRPr="00444264">
        <w:rPr>
          <w:rFonts w:asciiTheme="minorHAnsi" w:eastAsia="SimSun" w:hAnsiTheme="minorHAnsi" w:cstheme="minorHAnsi"/>
          <w:bCs/>
          <w:sz w:val="22"/>
          <w:szCs w:val="22"/>
        </w:rPr>
        <w:t xml:space="preserve">Ministerul Investițiilor și Proiectelor Europene </w:t>
      </w:r>
    </w:p>
    <w:p w14:paraId="77772BF0" w14:textId="6055505A" w:rsidR="004361CB" w:rsidRPr="00444264" w:rsidRDefault="004361CB" w:rsidP="004A2BAF">
      <w:pPr>
        <w:jc w:val="both"/>
        <w:rPr>
          <w:rFonts w:asciiTheme="minorHAnsi" w:eastAsia="SimSun" w:hAnsiTheme="minorHAnsi" w:cstheme="minorHAnsi"/>
          <w:bCs/>
          <w:sz w:val="22"/>
          <w:szCs w:val="22"/>
        </w:rPr>
      </w:pPr>
      <w:r w:rsidRPr="00444264">
        <w:rPr>
          <w:rFonts w:asciiTheme="minorHAnsi" w:eastAsia="SimSun" w:hAnsiTheme="minorHAnsi" w:cstheme="minorHAnsi"/>
          <w:b/>
          <w:bCs/>
          <w:sz w:val="22"/>
          <w:szCs w:val="22"/>
        </w:rPr>
        <w:lastRenderedPageBreak/>
        <w:t>MFP</w:t>
      </w:r>
      <w:r w:rsidRPr="00444264">
        <w:rPr>
          <w:rFonts w:asciiTheme="minorHAnsi" w:eastAsia="SimSun" w:hAnsiTheme="minorHAnsi" w:cstheme="minorHAnsi"/>
          <w:bCs/>
          <w:sz w:val="22"/>
          <w:szCs w:val="22"/>
        </w:rPr>
        <w:t xml:space="preserve"> – Ministerul Finanțelor Publice</w:t>
      </w:r>
    </w:p>
    <w:p w14:paraId="0826209F" w14:textId="31EBA02C" w:rsidR="00F31E6E" w:rsidRPr="00444264" w:rsidRDefault="00F31E6E" w:rsidP="004A2BAF">
      <w:pPr>
        <w:jc w:val="both"/>
        <w:rPr>
          <w:rFonts w:asciiTheme="minorHAnsi" w:eastAsia="SimSun" w:hAnsiTheme="minorHAnsi" w:cstheme="minorHAnsi"/>
          <w:bCs/>
          <w:sz w:val="22"/>
          <w:szCs w:val="22"/>
        </w:rPr>
      </w:pPr>
      <w:r w:rsidRPr="00444264">
        <w:rPr>
          <w:rFonts w:asciiTheme="minorHAnsi" w:eastAsia="SimSun" w:hAnsiTheme="minorHAnsi" w:cstheme="minorHAnsi"/>
          <w:b/>
          <w:bCs/>
          <w:sz w:val="22"/>
          <w:szCs w:val="22"/>
        </w:rPr>
        <w:t xml:space="preserve">NUTS - </w:t>
      </w:r>
      <w:r w:rsidRPr="00444264">
        <w:rPr>
          <w:rFonts w:asciiTheme="minorHAnsi" w:eastAsia="SimSun" w:hAnsiTheme="minorHAnsi" w:cstheme="minorHAnsi"/>
          <w:bCs/>
          <w:sz w:val="22"/>
          <w:szCs w:val="22"/>
        </w:rPr>
        <w:t>Nomenclatorul Unităților Statistice Teritoriale</w:t>
      </w:r>
    </w:p>
    <w:p w14:paraId="5D17B22D" w14:textId="547D2730" w:rsidR="004361CB" w:rsidRPr="00444264" w:rsidRDefault="004361CB" w:rsidP="004A2BAF">
      <w:pPr>
        <w:spacing w:after="0" w:line="276" w:lineRule="auto"/>
        <w:jc w:val="both"/>
        <w:rPr>
          <w:rFonts w:asciiTheme="minorHAnsi" w:hAnsiTheme="minorHAnsi" w:cstheme="minorHAnsi"/>
          <w:sz w:val="22"/>
          <w:szCs w:val="22"/>
        </w:rPr>
      </w:pPr>
      <w:r w:rsidRPr="00444264">
        <w:rPr>
          <w:rFonts w:asciiTheme="minorHAnsi" w:hAnsiTheme="minorHAnsi" w:cstheme="minorHAnsi"/>
          <w:b/>
          <w:sz w:val="22"/>
          <w:szCs w:val="22"/>
        </w:rPr>
        <w:t>OP</w:t>
      </w:r>
      <w:r w:rsidRPr="00444264">
        <w:rPr>
          <w:rFonts w:asciiTheme="minorHAnsi" w:hAnsiTheme="minorHAnsi" w:cstheme="minorHAnsi"/>
          <w:sz w:val="22"/>
          <w:szCs w:val="22"/>
        </w:rPr>
        <w:t xml:space="preserve"> - obiectiv de politică</w:t>
      </w:r>
    </w:p>
    <w:p w14:paraId="711B5C8F" w14:textId="0757F5CB" w:rsidR="004361CB" w:rsidRPr="00444264" w:rsidRDefault="004361CB" w:rsidP="004A2BAF">
      <w:pPr>
        <w:spacing w:after="0" w:line="276" w:lineRule="auto"/>
        <w:jc w:val="both"/>
        <w:rPr>
          <w:rFonts w:asciiTheme="minorHAnsi" w:hAnsiTheme="minorHAnsi" w:cstheme="minorHAnsi"/>
          <w:sz w:val="22"/>
          <w:szCs w:val="22"/>
        </w:rPr>
      </w:pPr>
      <w:r w:rsidRPr="00444264">
        <w:rPr>
          <w:rFonts w:asciiTheme="minorHAnsi" w:hAnsiTheme="minorHAnsi" w:cstheme="minorHAnsi"/>
          <w:b/>
          <w:sz w:val="22"/>
          <w:szCs w:val="22"/>
        </w:rPr>
        <w:t xml:space="preserve">OS </w:t>
      </w:r>
      <w:r w:rsidRPr="00444264">
        <w:rPr>
          <w:rFonts w:asciiTheme="minorHAnsi" w:hAnsiTheme="minorHAnsi" w:cstheme="minorHAnsi"/>
          <w:sz w:val="22"/>
          <w:szCs w:val="22"/>
        </w:rPr>
        <w:t>- obiectiv specific</w:t>
      </w:r>
    </w:p>
    <w:p w14:paraId="3A14FFB6" w14:textId="13ADA321" w:rsidR="00B76126" w:rsidRPr="00444264" w:rsidRDefault="00B76126" w:rsidP="004A2BAF">
      <w:pPr>
        <w:spacing w:after="0" w:line="276" w:lineRule="auto"/>
        <w:jc w:val="both"/>
        <w:rPr>
          <w:rFonts w:asciiTheme="minorHAnsi" w:hAnsiTheme="minorHAnsi" w:cstheme="minorHAnsi"/>
          <w:sz w:val="22"/>
          <w:szCs w:val="22"/>
        </w:rPr>
      </w:pPr>
      <w:r w:rsidRPr="00444264">
        <w:rPr>
          <w:rFonts w:asciiTheme="minorHAnsi" w:hAnsiTheme="minorHAnsi" w:cstheme="minorHAnsi"/>
          <w:b/>
          <w:bCs/>
          <w:sz w:val="22"/>
          <w:szCs w:val="22"/>
        </w:rPr>
        <w:t>OSR</w:t>
      </w:r>
      <w:r w:rsidRPr="00444264">
        <w:rPr>
          <w:rFonts w:asciiTheme="minorHAnsi" w:hAnsiTheme="minorHAnsi" w:cstheme="minorHAnsi"/>
          <w:sz w:val="22"/>
          <w:szCs w:val="22"/>
        </w:rPr>
        <w:t xml:space="preserve"> – obiectiv strategic regional</w:t>
      </w:r>
    </w:p>
    <w:p w14:paraId="2DEF0DA7" w14:textId="3A095925" w:rsidR="00AC3EFD" w:rsidRPr="00444264" w:rsidRDefault="00AC3EFD" w:rsidP="004A2BAF">
      <w:pPr>
        <w:jc w:val="both"/>
        <w:rPr>
          <w:rFonts w:asciiTheme="minorHAnsi" w:hAnsiTheme="minorHAnsi" w:cstheme="minorHAnsi"/>
          <w:sz w:val="22"/>
          <w:szCs w:val="22"/>
        </w:rPr>
      </w:pPr>
      <w:r w:rsidRPr="00444264">
        <w:rPr>
          <w:rFonts w:asciiTheme="minorHAnsi" w:hAnsiTheme="minorHAnsi" w:cstheme="minorHAnsi"/>
          <w:b/>
          <w:sz w:val="22"/>
          <w:szCs w:val="22"/>
        </w:rPr>
        <w:t>OUG</w:t>
      </w:r>
      <w:r w:rsidRPr="00444264">
        <w:rPr>
          <w:rFonts w:asciiTheme="minorHAnsi" w:hAnsiTheme="minorHAnsi" w:cstheme="minorHAnsi"/>
          <w:sz w:val="22"/>
          <w:szCs w:val="22"/>
        </w:rPr>
        <w:t xml:space="preserve"> - Ordonanță de urgență a Guvernului</w:t>
      </w:r>
    </w:p>
    <w:p w14:paraId="6BC11265" w14:textId="445921E9" w:rsidR="00744D2A" w:rsidRPr="00444264" w:rsidRDefault="00744D2A" w:rsidP="004A2BAF">
      <w:pPr>
        <w:jc w:val="both"/>
        <w:rPr>
          <w:rFonts w:asciiTheme="minorHAnsi" w:hAnsiTheme="minorHAnsi" w:cstheme="minorHAnsi"/>
          <w:sz w:val="22"/>
          <w:szCs w:val="22"/>
        </w:rPr>
      </w:pPr>
      <w:r w:rsidRPr="00444264">
        <w:rPr>
          <w:rFonts w:asciiTheme="minorHAnsi" w:hAnsiTheme="minorHAnsi" w:cstheme="minorHAnsi"/>
          <w:b/>
          <w:bCs/>
          <w:sz w:val="22"/>
          <w:szCs w:val="22"/>
        </w:rPr>
        <w:t>UAT</w:t>
      </w:r>
      <w:r w:rsidRPr="00444264">
        <w:rPr>
          <w:rFonts w:asciiTheme="minorHAnsi" w:hAnsiTheme="minorHAnsi" w:cstheme="minorHAnsi"/>
          <w:sz w:val="22"/>
          <w:szCs w:val="22"/>
        </w:rPr>
        <w:t xml:space="preserve"> - Unitate administrativ teritorială</w:t>
      </w:r>
    </w:p>
    <w:p w14:paraId="58081AEA" w14:textId="78B776F4" w:rsidR="0068121C" w:rsidRPr="00444264" w:rsidRDefault="0068121C" w:rsidP="0068121C">
      <w:pPr>
        <w:jc w:val="both"/>
        <w:rPr>
          <w:rFonts w:asciiTheme="minorHAnsi" w:eastAsia="SimSun" w:hAnsiTheme="minorHAnsi" w:cstheme="minorHAnsi"/>
          <w:bCs/>
          <w:sz w:val="22"/>
          <w:szCs w:val="22"/>
        </w:rPr>
      </w:pPr>
      <w:r w:rsidRPr="00444264">
        <w:rPr>
          <w:rFonts w:asciiTheme="minorHAnsi" w:eastAsia="SimSun" w:hAnsiTheme="minorHAnsi" w:cstheme="minorHAnsi"/>
          <w:b/>
          <w:bCs/>
          <w:sz w:val="22"/>
          <w:szCs w:val="22"/>
        </w:rPr>
        <w:t>P</w:t>
      </w:r>
      <w:r w:rsidRPr="00444264">
        <w:rPr>
          <w:rFonts w:asciiTheme="minorHAnsi" w:eastAsia="SimSun" w:hAnsiTheme="minorHAnsi" w:cstheme="minorHAnsi"/>
          <w:bCs/>
          <w:sz w:val="22"/>
          <w:szCs w:val="22"/>
        </w:rPr>
        <w:t xml:space="preserve"> – Prioritatea</w:t>
      </w:r>
    </w:p>
    <w:p w14:paraId="49FD640A" w14:textId="74E2DAE7" w:rsidR="004361CB" w:rsidRPr="00444264" w:rsidRDefault="004361CB" w:rsidP="004A2BAF">
      <w:pPr>
        <w:spacing w:after="0" w:line="276" w:lineRule="auto"/>
        <w:jc w:val="both"/>
        <w:rPr>
          <w:rFonts w:asciiTheme="minorHAnsi" w:hAnsiTheme="minorHAnsi" w:cstheme="minorHAnsi"/>
          <w:sz w:val="22"/>
          <w:szCs w:val="22"/>
        </w:rPr>
      </w:pPr>
      <w:r w:rsidRPr="00444264">
        <w:rPr>
          <w:rFonts w:asciiTheme="minorHAnsi" w:hAnsiTheme="minorHAnsi" w:cstheme="minorHAnsi"/>
          <w:b/>
          <w:sz w:val="22"/>
          <w:szCs w:val="22"/>
        </w:rPr>
        <w:t>PR Sud-Vest Oltenia</w:t>
      </w:r>
      <w:r w:rsidRPr="00444264">
        <w:rPr>
          <w:rFonts w:asciiTheme="minorHAnsi" w:hAnsiTheme="minorHAnsi" w:cstheme="minorHAnsi"/>
          <w:sz w:val="22"/>
          <w:szCs w:val="22"/>
        </w:rPr>
        <w:t xml:space="preserve"> - Programul Regional Sud- Vest Oltenia</w:t>
      </w:r>
    </w:p>
    <w:p w14:paraId="5A0D1D7D" w14:textId="2A76C2E9" w:rsidR="004361CB" w:rsidRPr="00444264" w:rsidRDefault="004361CB" w:rsidP="004A2BAF">
      <w:pPr>
        <w:jc w:val="both"/>
        <w:rPr>
          <w:rFonts w:asciiTheme="minorHAnsi" w:hAnsiTheme="minorHAnsi" w:cstheme="minorHAnsi"/>
          <w:sz w:val="22"/>
          <w:szCs w:val="22"/>
        </w:rPr>
      </w:pPr>
      <w:r w:rsidRPr="00444264">
        <w:rPr>
          <w:rFonts w:asciiTheme="minorHAnsi" w:hAnsiTheme="minorHAnsi" w:cstheme="minorHAnsi"/>
          <w:b/>
          <w:sz w:val="22"/>
          <w:szCs w:val="22"/>
        </w:rPr>
        <w:t xml:space="preserve">PDR </w:t>
      </w:r>
      <w:r w:rsidRPr="00444264">
        <w:rPr>
          <w:rFonts w:asciiTheme="minorHAnsi" w:hAnsiTheme="minorHAnsi" w:cstheme="minorHAnsi"/>
          <w:sz w:val="22"/>
          <w:szCs w:val="22"/>
        </w:rPr>
        <w:t>- Planul de Dezvoltare Regională</w:t>
      </w:r>
      <w:r w:rsidR="002A15A4" w:rsidRPr="00444264">
        <w:rPr>
          <w:rFonts w:asciiTheme="minorHAnsi" w:hAnsiTheme="minorHAnsi" w:cstheme="minorHAnsi"/>
          <w:sz w:val="22"/>
          <w:szCs w:val="22"/>
        </w:rPr>
        <w:t xml:space="preserve"> </w:t>
      </w:r>
    </w:p>
    <w:p w14:paraId="1A3CC0D3" w14:textId="7448825A" w:rsidR="002A15A4" w:rsidRPr="00444264" w:rsidRDefault="002A15A4" w:rsidP="004A2BAF">
      <w:pPr>
        <w:jc w:val="both"/>
        <w:rPr>
          <w:rFonts w:asciiTheme="minorHAnsi" w:hAnsiTheme="minorHAnsi" w:cstheme="minorHAnsi"/>
          <w:sz w:val="22"/>
          <w:szCs w:val="22"/>
        </w:rPr>
      </w:pPr>
      <w:r w:rsidRPr="00444264">
        <w:rPr>
          <w:rFonts w:asciiTheme="minorHAnsi" w:hAnsiTheme="minorHAnsi" w:cstheme="minorHAnsi"/>
          <w:b/>
          <w:sz w:val="22"/>
          <w:szCs w:val="22"/>
        </w:rPr>
        <w:t>RȚ</w:t>
      </w:r>
      <w:r w:rsidRPr="00444264">
        <w:rPr>
          <w:rFonts w:asciiTheme="minorHAnsi" w:hAnsiTheme="minorHAnsi" w:cstheme="minorHAnsi"/>
          <w:sz w:val="22"/>
          <w:szCs w:val="22"/>
        </w:rPr>
        <w:t xml:space="preserve"> -</w:t>
      </w:r>
      <w:r w:rsidR="00123F22" w:rsidRPr="00444264">
        <w:rPr>
          <w:rFonts w:asciiTheme="minorHAnsi" w:hAnsiTheme="minorHAnsi" w:cstheme="minorHAnsi"/>
          <w:sz w:val="22"/>
          <w:szCs w:val="22"/>
        </w:rPr>
        <w:t xml:space="preserve"> Raportul de Țară</w:t>
      </w:r>
    </w:p>
    <w:p w14:paraId="27BE2DB4" w14:textId="311C358C" w:rsidR="002A15A4" w:rsidRPr="00444264" w:rsidRDefault="002A15A4" w:rsidP="004A2BAF">
      <w:pPr>
        <w:jc w:val="both"/>
        <w:rPr>
          <w:rFonts w:asciiTheme="minorHAnsi" w:hAnsiTheme="minorHAnsi" w:cstheme="minorHAnsi"/>
          <w:sz w:val="22"/>
          <w:szCs w:val="22"/>
        </w:rPr>
      </w:pPr>
      <w:r w:rsidRPr="00444264">
        <w:rPr>
          <w:rFonts w:asciiTheme="minorHAnsi" w:hAnsiTheme="minorHAnsi" w:cstheme="minorHAnsi"/>
          <w:b/>
          <w:sz w:val="22"/>
          <w:szCs w:val="22"/>
        </w:rPr>
        <w:t>RIS3</w:t>
      </w:r>
      <w:r w:rsidRPr="00444264">
        <w:rPr>
          <w:rFonts w:asciiTheme="minorHAnsi" w:hAnsiTheme="minorHAnsi" w:cstheme="minorHAnsi"/>
          <w:sz w:val="22"/>
          <w:szCs w:val="22"/>
        </w:rPr>
        <w:t xml:space="preserve"> - Strategia regională de inovare pentru specializare inteligentă</w:t>
      </w:r>
    </w:p>
    <w:p w14:paraId="0E4A5D8D" w14:textId="223F0A3D" w:rsidR="00422194" w:rsidRPr="00444264" w:rsidRDefault="00422194" w:rsidP="004A2BAF">
      <w:pPr>
        <w:jc w:val="both"/>
        <w:rPr>
          <w:rFonts w:asciiTheme="minorHAnsi" w:hAnsiTheme="minorHAnsi" w:cstheme="minorHAnsi"/>
          <w:sz w:val="22"/>
          <w:szCs w:val="22"/>
        </w:rPr>
      </w:pPr>
      <w:r w:rsidRPr="00444264">
        <w:rPr>
          <w:rFonts w:asciiTheme="minorHAnsi" w:hAnsiTheme="minorHAnsi" w:cstheme="minorHAnsi"/>
          <w:b/>
          <w:sz w:val="22"/>
          <w:szCs w:val="22"/>
        </w:rPr>
        <w:t>REG</w:t>
      </w:r>
      <w:r w:rsidRPr="00444264">
        <w:rPr>
          <w:rFonts w:asciiTheme="minorHAnsi" w:hAnsiTheme="minorHAnsi" w:cstheme="minorHAnsi"/>
          <w:sz w:val="22"/>
          <w:szCs w:val="22"/>
        </w:rPr>
        <w:t xml:space="preserve"> - Regulament</w:t>
      </w:r>
    </w:p>
    <w:p w14:paraId="13149EED" w14:textId="6778797C" w:rsidR="002A15A4" w:rsidRPr="00444264" w:rsidRDefault="002A15A4" w:rsidP="004A2BAF">
      <w:pPr>
        <w:jc w:val="both"/>
        <w:rPr>
          <w:rFonts w:asciiTheme="minorHAnsi" w:eastAsia="SimSun" w:hAnsiTheme="minorHAnsi" w:cstheme="minorHAnsi"/>
          <w:bCs/>
          <w:sz w:val="22"/>
          <w:szCs w:val="22"/>
        </w:rPr>
      </w:pPr>
      <w:r w:rsidRPr="00444264">
        <w:rPr>
          <w:rFonts w:asciiTheme="minorHAnsi" w:eastAsia="SimSun" w:hAnsiTheme="minorHAnsi" w:cstheme="minorHAnsi"/>
          <w:b/>
          <w:bCs/>
          <w:sz w:val="22"/>
          <w:szCs w:val="22"/>
        </w:rPr>
        <w:t>SNDD</w:t>
      </w:r>
      <w:r w:rsidR="00FB3831" w:rsidRPr="00444264">
        <w:rPr>
          <w:rFonts w:asciiTheme="minorHAnsi" w:eastAsia="SimSun" w:hAnsiTheme="minorHAnsi" w:cstheme="minorHAnsi"/>
          <w:b/>
          <w:bCs/>
          <w:sz w:val="22"/>
          <w:szCs w:val="22"/>
        </w:rPr>
        <w:t>R</w:t>
      </w:r>
      <w:r w:rsidRPr="00444264">
        <w:rPr>
          <w:rFonts w:asciiTheme="minorHAnsi" w:eastAsia="SimSun" w:hAnsiTheme="minorHAnsi" w:cstheme="minorHAnsi"/>
          <w:bCs/>
          <w:sz w:val="22"/>
          <w:szCs w:val="22"/>
        </w:rPr>
        <w:t xml:space="preserve"> – Strategia Națională pentru Dezvoltare Durabilă</w:t>
      </w:r>
      <w:r w:rsidR="00FB3831" w:rsidRPr="00444264">
        <w:rPr>
          <w:rFonts w:asciiTheme="minorHAnsi" w:eastAsia="SimSun" w:hAnsiTheme="minorHAnsi" w:cstheme="minorHAnsi"/>
          <w:bCs/>
          <w:sz w:val="22"/>
          <w:szCs w:val="22"/>
        </w:rPr>
        <w:t xml:space="preserve"> a României</w:t>
      </w:r>
    </w:p>
    <w:p w14:paraId="415F8BC6" w14:textId="18499113" w:rsidR="002A15A4" w:rsidRPr="00444264" w:rsidRDefault="002A15A4" w:rsidP="004A2BAF">
      <w:pPr>
        <w:jc w:val="both"/>
        <w:rPr>
          <w:rFonts w:asciiTheme="minorHAnsi" w:hAnsiTheme="minorHAnsi" w:cstheme="minorHAnsi"/>
          <w:sz w:val="22"/>
          <w:szCs w:val="22"/>
        </w:rPr>
      </w:pPr>
      <w:r w:rsidRPr="00444264">
        <w:rPr>
          <w:rFonts w:asciiTheme="minorHAnsi" w:hAnsiTheme="minorHAnsi" w:cstheme="minorHAnsi"/>
          <w:b/>
          <w:sz w:val="22"/>
          <w:szCs w:val="22"/>
        </w:rPr>
        <w:t>SNCISI -</w:t>
      </w:r>
      <w:r w:rsidRPr="00444264">
        <w:rPr>
          <w:rFonts w:asciiTheme="minorHAnsi" w:hAnsiTheme="minorHAnsi" w:cstheme="minorHAnsi"/>
          <w:sz w:val="22"/>
          <w:szCs w:val="22"/>
        </w:rPr>
        <w:t xml:space="preserve"> Strategia Națională de Cercetare, Inovare și Specializare Inteligentă 2021 - 2027</w:t>
      </w:r>
    </w:p>
    <w:p w14:paraId="73273978" w14:textId="48F0D8DB" w:rsidR="002A15A4" w:rsidRPr="00444264" w:rsidRDefault="002A15A4" w:rsidP="004A2BAF">
      <w:pPr>
        <w:jc w:val="both"/>
        <w:rPr>
          <w:rFonts w:asciiTheme="minorHAnsi" w:eastAsia="SimSun" w:hAnsiTheme="minorHAnsi" w:cstheme="minorHAnsi"/>
          <w:bCs/>
          <w:sz w:val="22"/>
          <w:szCs w:val="22"/>
        </w:rPr>
      </w:pPr>
      <w:r w:rsidRPr="00444264">
        <w:rPr>
          <w:rFonts w:asciiTheme="minorHAnsi" w:eastAsia="SimSun" w:hAnsiTheme="minorHAnsi" w:cstheme="minorHAnsi"/>
          <w:b/>
          <w:bCs/>
          <w:sz w:val="22"/>
          <w:szCs w:val="22"/>
        </w:rPr>
        <w:t>TIC</w:t>
      </w:r>
      <w:r w:rsidRPr="00444264">
        <w:rPr>
          <w:rFonts w:asciiTheme="minorHAnsi" w:eastAsia="SimSun" w:hAnsiTheme="minorHAnsi" w:cstheme="minorHAnsi"/>
          <w:bCs/>
          <w:sz w:val="22"/>
          <w:szCs w:val="22"/>
        </w:rPr>
        <w:t xml:space="preserve"> - Tehnologia Informației și Comunicării</w:t>
      </w:r>
    </w:p>
    <w:p w14:paraId="42D4A482" w14:textId="5ABC1AEE" w:rsidR="002A15A4" w:rsidRPr="00444264" w:rsidRDefault="002A15A4" w:rsidP="004A2BAF">
      <w:pPr>
        <w:jc w:val="both"/>
        <w:rPr>
          <w:rFonts w:asciiTheme="minorHAnsi" w:hAnsiTheme="minorHAnsi" w:cstheme="minorHAnsi"/>
          <w:sz w:val="22"/>
          <w:szCs w:val="22"/>
        </w:rPr>
      </w:pPr>
      <w:r w:rsidRPr="00444264">
        <w:rPr>
          <w:rFonts w:asciiTheme="minorHAnsi" w:hAnsiTheme="minorHAnsi" w:cstheme="minorHAnsi"/>
          <w:b/>
          <w:sz w:val="22"/>
          <w:szCs w:val="22"/>
        </w:rPr>
        <w:t xml:space="preserve">TVA </w:t>
      </w:r>
      <w:r w:rsidRPr="00444264">
        <w:rPr>
          <w:rFonts w:asciiTheme="minorHAnsi" w:hAnsiTheme="minorHAnsi" w:cstheme="minorHAnsi"/>
          <w:sz w:val="22"/>
          <w:szCs w:val="22"/>
        </w:rPr>
        <w:t>- Taxa pe valoare Adăugată</w:t>
      </w:r>
    </w:p>
    <w:p w14:paraId="147502DA" w14:textId="7042D69F" w:rsidR="00422194" w:rsidRPr="00444264" w:rsidRDefault="00422194" w:rsidP="00675AE2">
      <w:pPr>
        <w:spacing w:before="0" w:after="0"/>
        <w:jc w:val="both"/>
        <w:rPr>
          <w:rFonts w:asciiTheme="minorHAnsi" w:hAnsiTheme="minorHAnsi" w:cstheme="minorHAnsi"/>
          <w:sz w:val="22"/>
          <w:szCs w:val="22"/>
        </w:rPr>
      </w:pPr>
      <w:r w:rsidRPr="00444264">
        <w:rPr>
          <w:rFonts w:asciiTheme="minorHAnsi" w:hAnsiTheme="minorHAnsi" w:cstheme="minorHAnsi"/>
          <w:b/>
          <w:sz w:val="22"/>
          <w:szCs w:val="22"/>
        </w:rPr>
        <w:t>TFUE</w:t>
      </w:r>
      <w:r w:rsidRPr="00444264">
        <w:rPr>
          <w:rFonts w:asciiTheme="minorHAnsi" w:hAnsiTheme="minorHAnsi" w:cstheme="minorHAnsi"/>
          <w:sz w:val="22"/>
          <w:szCs w:val="22"/>
        </w:rPr>
        <w:t xml:space="preserve"> - Tratatul privind funcționarea Uniunii Europene - versiunea consolidată 2012/C326/01 a</w:t>
      </w:r>
      <w:r w:rsidR="00675AE2" w:rsidRPr="00444264">
        <w:rPr>
          <w:rFonts w:asciiTheme="minorHAnsi" w:hAnsiTheme="minorHAnsi" w:cstheme="minorHAnsi"/>
          <w:sz w:val="22"/>
          <w:szCs w:val="22"/>
        </w:rPr>
        <w:t xml:space="preserve"> </w:t>
      </w:r>
      <w:r w:rsidRPr="00444264">
        <w:rPr>
          <w:rFonts w:asciiTheme="minorHAnsi" w:hAnsiTheme="minorHAnsi" w:cstheme="minorHAnsi"/>
          <w:sz w:val="22"/>
          <w:szCs w:val="22"/>
        </w:rPr>
        <w:t>Tratatului privind Uniunea Europeană și a Tratatului privind funcționarea Uniunii Europene</w:t>
      </w:r>
    </w:p>
    <w:p w14:paraId="563F109D" w14:textId="31DC59BA" w:rsidR="00026AC2" w:rsidRPr="00444264" w:rsidRDefault="00AC3EFD" w:rsidP="004A2BAF">
      <w:pPr>
        <w:jc w:val="both"/>
        <w:rPr>
          <w:rFonts w:asciiTheme="minorHAnsi" w:hAnsiTheme="minorHAnsi" w:cstheme="minorHAnsi"/>
          <w:sz w:val="22"/>
          <w:szCs w:val="22"/>
        </w:rPr>
      </w:pPr>
      <w:r w:rsidRPr="00444264">
        <w:rPr>
          <w:rFonts w:asciiTheme="minorHAnsi" w:hAnsiTheme="minorHAnsi" w:cstheme="minorHAnsi"/>
          <w:b/>
          <w:sz w:val="22"/>
          <w:szCs w:val="22"/>
        </w:rPr>
        <w:t>UE</w:t>
      </w:r>
      <w:r w:rsidRPr="00444264">
        <w:rPr>
          <w:rFonts w:asciiTheme="minorHAnsi" w:hAnsiTheme="minorHAnsi" w:cstheme="minorHAnsi"/>
          <w:sz w:val="22"/>
          <w:szCs w:val="22"/>
        </w:rPr>
        <w:t xml:space="preserve"> - Uniunea Europeană</w:t>
      </w:r>
    </w:p>
    <w:p w14:paraId="13ED5391" w14:textId="77777777" w:rsidR="00026AC2" w:rsidRPr="00444264" w:rsidRDefault="00026AC2" w:rsidP="00675AE2">
      <w:pPr>
        <w:rPr>
          <w:rFonts w:asciiTheme="minorHAnsi" w:hAnsiTheme="minorHAnsi" w:cstheme="minorHAnsi"/>
          <w:b/>
          <w:sz w:val="28"/>
          <w:szCs w:val="28"/>
        </w:rPr>
      </w:pPr>
    </w:p>
    <w:p w14:paraId="12ABA530" w14:textId="6115F08A" w:rsidR="00884E53" w:rsidRPr="00444264" w:rsidRDefault="002E55DF" w:rsidP="002E55DF">
      <w:pPr>
        <w:jc w:val="center"/>
        <w:rPr>
          <w:rFonts w:asciiTheme="minorHAnsi" w:eastAsia="SimSun" w:hAnsiTheme="minorHAnsi" w:cstheme="minorHAnsi"/>
          <w:b/>
          <w:bCs/>
          <w:sz w:val="28"/>
          <w:szCs w:val="28"/>
        </w:rPr>
      </w:pPr>
      <w:r w:rsidRPr="00444264">
        <w:rPr>
          <w:rFonts w:asciiTheme="minorHAnsi" w:eastAsia="SimSun" w:hAnsiTheme="minorHAnsi" w:cstheme="minorHAnsi"/>
          <w:b/>
          <w:bCs/>
          <w:sz w:val="28"/>
          <w:szCs w:val="28"/>
        </w:rPr>
        <w:t xml:space="preserve">Glosar </w:t>
      </w:r>
      <w:r w:rsidR="00C04166" w:rsidRPr="00444264">
        <w:rPr>
          <w:rFonts w:asciiTheme="minorHAnsi" w:eastAsia="SimSun" w:hAnsiTheme="minorHAnsi" w:cstheme="minorHAnsi"/>
          <w:b/>
          <w:bCs/>
          <w:sz w:val="28"/>
          <w:szCs w:val="28"/>
        </w:rPr>
        <w:t>de termeni specifici apelului de proiecte</w:t>
      </w:r>
    </w:p>
    <w:p w14:paraId="400561AA" w14:textId="09963D6F" w:rsidR="00A06F23" w:rsidRPr="00444264" w:rsidRDefault="00A06F23" w:rsidP="002E55DF">
      <w:pPr>
        <w:jc w:val="center"/>
        <w:rPr>
          <w:rFonts w:asciiTheme="minorHAnsi" w:eastAsia="SimSun" w:hAnsiTheme="minorHAnsi" w:cstheme="minorHAnsi"/>
          <w:b/>
          <w:bCs/>
          <w:szCs w:val="20"/>
        </w:rPr>
      </w:pPr>
    </w:p>
    <w:p w14:paraId="3EE4792D" w14:textId="77777777" w:rsidR="00A21998" w:rsidRPr="00444264" w:rsidRDefault="00A21998" w:rsidP="00A21998">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444264">
        <w:rPr>
          <w:rFonts w:asciiTheme="minorHAnsi" w:hAnsiTheme="minorHAnsi" w:cstheme="minorHAnsi"/>
          <w:b/>
          <w:bCs/>
          <w:sz w:val="22"/>
          <w:szCs w:val="22"/>
        </w:rPr>
        <w:t>Aceeași activitate sau o activitate similară</w:t>
      </w:r>
      <w:r w:rsidRPr="00444264">
        <w:rPr>
          <w:rFonts w:asciiTheme="minorHAnsi" w:hAnsiTheme="minorHAnsi" w:cstheme="minorHAnsi"/>
          <w:sz w:val="22"/>
          <w:szCs w:val="22"/>
        </w:rPr>
        <w:t xml:space="preserve"> înseamnă o activitate care face parte din aceeași clasă (cod numeric de patru cifre) a Nomenclatorului statistic al activităților economice NACE a doua revizuire așa cum e prevăzut în Regulamentul (CE) nr. 1893/2006 al Parlamentului European și al Consiliului din 20 decembrie 2006 de stabilire a Nomenclatorului statistic al activităților economice; </w:t>
      </w:r>
    </w:p>
    <w:p w14:paraId="2BC6B822" w14:textId="5E0997FA" w:rsidR="00A21998" w:rsidRPr="00444264" w:rsidRDefault="00A21998" w:rsidP="00A21998">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444264">
        <w:rPr>
          <w:rFonts w:asciiTheme="minorHAnsi" w:hAnsiTheme="minorHAnsi" w:cstheme="minorHAnsi"/>
          <w:b/>
          <w:bCs/>
          <w:sz w:val="22"/>
          <w:szCs w:val="22"/>
        </w:rPr>
        <w:t xml:space="preserve">Activitate economică </w:t>
      </w:r>
      <w:r w:rsidRPr="00444264">
        <w:rPr>
          <w:rFonts w:asciiTheme="minorHAnsi" w:hAnsiTheme="minorHAnsi" w:cstheme="minorHAnsi"/>
          <w:sz w:val="22"/>
          <w:szCs w:val="22"/>
        </w:rPr>
        <w:t>reprezintă orice activitate care constă în furnizarea de bunuri, servicii și lucrări pe o piață;</w:t>
      </w:r>
    </w:p>
    <w:p w14:paraId="5EF667BF" w14:textId="1C4F5D9B" w:rsidR="00904759" w:rsidRPr="00444264"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2"/>
          <w:szCs w:val="22"/>
        </w:rPr>
      </w:pPr>
      <w:r w:rsidRPr="00444264">
        <w:rPr>
          <w:rFonts w:asciiTheme="minorHAnsi" w:hAnsiTheme="minorHAnsi" w:cstheme="minorHAnsi"/>
          <w:b/>
          <w:bCs/>
          <w:sz w:val="22"/>
          <w:szCs w:val="22"/>
        </w:rPr>
        <w:t>Activele fixe</w:t>
      </w:r>
      <w:r w:rsidR="001D30B9" w:rsidRPr="00444264">
        <w:rPr>
          <w:rFonts w:asciiTheme="minorHAnsi" w:hAnsiTheme="minorHAnsi" w:cstheme="minorHAnsi"/>
          <w:b/>
          <w:bCs/>
          <w:sz w:val="22"/>
          <w:szCs w:val="22"/>
        </w:rPr>
        <w:t xml:space="preserve"> </w:t>
      </w:r>
      <w:r w:rsidR="001D30B9" w:rsidRPr="00444264">
        <w:rPr>
          <w:rFonts w:asciiTheme="minorHAnsi" w:hAnsiTheme="minorHAnsi" w:cstheme="minorHAnsi"/>
          <w:sz w:val="22"/>
          <w:szCs w:val="22"/>
        </w:rPr>
        <w:t>-</w:t>
      </w:r>
      <w:r w:rsidRPr="00444264">
        <w:rPr>
          <w:rFonts w:asciiTheme="minorHAnsi" w:hAnsiTheme="minorHAnsi" w:cstheme="minorHAnsi"/>
          <w:sz w:val="22"/>
          <w:szCs w:val="22"/>
        </w:rPr>
        <w:t xml:space="preserve"> acele active deținute de către agenții economici și/sau de către instituțiile publice în scopul utilizării lor pe termen lung. Activele fixe includ activele fixe corporale și necorporale; </w:t>
      </w:r>
    </w:p>
    <w:p w14:paraId="73F1B2FD" w14:textId="01CA4662" w:rsidR="00904759" w:rsidRPr="00444264"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2"/>
          <w:szCs w:val="22"/>
        </w:rPr>
      </w:pPr>
      <w:r w:rsidRPr="00444264">
        <w:rPr>
          <w:rStyle w:val="slitbdy"/>
          <w:rFonts w:asciiTheme="minorHAnsi" w:hAnsiTheme="minorHAnsi" w:cstheme="minorHAnsi"/>
          <w:b/>
          <w:sz w:val="22"/>
          <w:szCs w:val="22"/>
          <w:bdr w:val="none" w:sz="0" w:space="0" w:color="auto" w:frame="1"/>
          <w:shd w:val="clear" w:color="auto" w:fill="FFFFFF"/>
        </w:rPr>
        <w:t>Active fixe necorporale</w:t>
      </w:r>
      <w:r w:rsidRPr="00444264">
        <w:rPr>
          <w:rStyle w:val="slitbdy"/>
          <w:rFonts w:asciiTheme="minorHAnsi" w:hAnsiTheme="minorHAnsi" w:cstheme="minorHAnsi"/>
          <w:sz w:val="22"/>
          <w:szCs w:val="22"/>
          <w:bdr w:val="none" w:sz="0" w:space="0" w:color="auto" w:frame="1"/>
          <w:shd w:val="clear" w:color="auto" w:fill="FFFFFF"/>
        </w:rPr>
        <w:t xml:space="preserve"> - active fixe fără substanță fizică, care se utilizează pe o perioadă mai mare de un an</w:t>
      </w:r>
      <w:r w:rsidRPr="00444264">
        <w:rPr>
          <w:rFonts w:asciiTheme="minorHAnsi" w:hAnsiTheme="minorHAnsi" w:cstheme="minorHAnsi"/>
          <w:sz w:val="22"/>
          <w:szCs w:val="22"/>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444264"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444264">
        <w:rPr>
          <w:rStyle w:val="slitbdy"/>
          <w:rFonts w:asciiTheme="minorHAnsi" w:hAnsiTheme="minorHAnsi" w:cstheme="minorHAnsi"/>
          <w:b/>
          <w:sz w:val="22"/>
          <w:szCs w:val="22"/>
          <w:bdr w:val="none" w:sz="0" w:space="0" w:color="auto" w:frame="1"/>
          <w:shd w:val="clear" w:color="auto" w:fill="FFFFFF"/>
        </w:rPr>
        <w:t>Active fixe corporale</w:t>
      </w:r>
      <w:r w:rsidRPr="00444264">
        <w:rPr>
          <w:rStyle w:val="slitbdy"/>
          <w:rFonts w:asciiTheme="minorHAnsi" w:hAnsiTheme="minorHAnsi" w:cstheme="minorHAnsi"/>
          <w:sz w:val="22"/>
          <w:szCs w:val="22"/>
          <w:bdr w:val="none" w:sz="0" w:space="0" w:color="auto" w:frame="1"/>
          <w:shd w:val="clear" w:color="auto" w:fill="FFFFFF"/>
        </w:rPr>
        <w:t xml:space="preserve"> - active fixe care îndeplinesc cumulativ două condiții: au valoarea de intrare mai mare 2.500 lei și durata normală de utilizare mai mare de un an;</w:t>
      </w:r>
      <w:r w:rsidRPr="00444264">
        <w:rPr>
          <w:rFonts w:asciiTheme="minorHAnsi" w:hAnsiTheme="minorHAnsi" w:cstheme="minorHAnsi"/>
          <w:b/>
          <w:sz w:val="22"/>
          <w:szCs w:val="22"/>
        </w:rPr>
        <w:t xml:space="preserve"> </w:t>
      </w:r>
      <w:r w:rsidRPr="00444264">
        <w:rPr>
          <w:rFonts w:asciiTheme="minorHAnsi" w:hAnsiTheme="minorHAnsi" w:cstheme="minorHAnsi"/>
          <w:sz w:val="22"/>
          <w:szCs w:val="22"/>
        </w:rPr>
        <w:t>acestea pot fi terenuri, clădiri și instalații, utilaje și echipamente;</w:t>
      </w:r>
    </w:p>
    <w:p w14:paraId="2E623F6B" w14:textId="5AF2A954" w:rsidR="000F25F5" w:rsidRPr="00444264" w:rsidRDefault="000F25F5"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444264">
        <w:rPr>
          <w:rFonts w:asciiTheme="minorHAnsi" w:hAnsiTheme="minorHAnsi" w:cstheme="minorHAnsi"/>
          <w:b/>
          <w:bCs/>
          <w:sz w:val="22"/>
          <w:szCs w:val="22"/>
        </w:rPr>
        <w:lastRenderedPageBreak/>
        <w:t>Administratorul parcului</w:t>
      </w:r>
      <w:r w:rsidRPr="00444264">
        <w:rPr>
          <w:rFonts w:asciiTheme="minorHAnsi" w:hAnsiTheme="minorHAnsi" w:cstheme="minorHAnsi"/>
          <w:sz w:val="22"/>
          <w:szCs w:val="22"/>
        </w:rPr>
        <w:t xml:space="preserve"> este o persoană juridică de drept privat, română şi/sau străină, înființată în condiţiile legii de către fondatori cu scopul de a constitui un parc industrial, de a dobândi şi deţine titlul de parc industrial, eliberat potrivit prevederilor prezentei legi de Ministerul Dezvoltării, Lucrărilor Publice și Administrației, respectiv de a gestiona şi administra, în conformitate cu Legea nr. 186/2013, cu modificările și completările ulterioare, parcul industrial;</w:t>
      </w:r>
    </w:p>
    <w:p w14:paraId="7700B86A" w14:textId="6A14A391" w:rsidR="00FC7985" w:rsidRPr="00444264" w:rsidRDefault="00FC7985"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444264">
        <w:rPr>
          <w:rFonts w:asciiTheme="minorHAnsi" w:hAnsiTheme="minorHAnsi" w:cstheme="minorHAnsi"/>
          <w:b/>
          <w:bCs/>
          <w:sz w:val="22"/>
          <w:szCs w:val="22"/>
        </w:rPr>
        <w:t>Ajutor de minimis</w:t>
      </w:r>
      <w:r w:rsidRPr="00444264">
        <w:rPr>
          <w:rFonts w:asciiTheme="minorHAnsi" w:hAnsiTheme="minorHAnsi" w:cstheme="minorHAnsi"/>
          <w:sz w:val="22"/>
          <w:szCs w:val="22"/>
        </w:rPr>
        <w:t xml:space="preserve"> – finanțare acordată unei întreprinderi unice în limitele prevăzute de Regulamentului UE nr. 1407/2013 privind aplicarea articolelor 107 și 108 din Tratatul privind funcționarea Uniunii Europene ajutoarelor de minimis, precum și de schema de ajutor de minimis aplicabilă. Valoarea maximă a ajutorului, în regim de minimis, ce poate fi acordat unei întreprinderi unice, din fonduri publice, într-o perioadă de până la 3 ani fiscali (ultimii 2 ani fiscali înainte de data depunerii cererii de finanţare şi anul curent depunerii cererii de finanţare) este de 200.000 de euro, în conformitate cu reglementările comunitare privind concurenţa şi ajutorul de stat. În cazul întreprinderilor din domeniul transportului rutier (transportul de marfă şi transportul de călători pe cale rutieră), valoarea maximă a ajutorului ce poate fi acordat în regim de minimis este de 100.000 de euro;</w:t>
      </w:r>
    </w:p>
    <w:p w14:paraId="0A66C415" w14:textId="57DAC9C5" w:rsidR="00D9159A" w:rsidRPr="00444264"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444264">
        <w:rPr>
          <w:rFonts w:asciiTheme="minorHAnsi" w:hAnsiTheme="minorHAnsi" w:cstheme="minorHAnsi"/>
          <w:b/>
          <w:sz w:val="22"/>
          <w:szCs w:val="22"/>
        </w:rPr>
        <w:t>Ajutor de stat</w:t>
      </w:r>
      <w:r w:rsidRPr="00444264">
        <w:rPr>
          <w:rFonts w:asciiTheme="minorHAnsi" w:hAnsiTheme="minorHAnsi" w:cstheme="minorHAnsi"/>
          <w:sz w:val="22"/>
          <w:szCs w:val="22"/>
        </w:rPr>
        <w:t xml:space="preserve"> </w:t>
      </w:r>
      <w:r w:rsidR="001D30B9" w:rsidRPr="00444264">
        <w:rPr>
          <w:rFonts w:asciiTheme="minorHAnsi" w:hAnsiTheme="minorHAnsi" w:cstheme="minorHAnsi"/>
          <w:sz w:val="22"/>
          <w:szCs w:val="22"/>
        </w:rPr>
        <w:t>-</w:t>
      </w:r>
      <w:r w:rsidRPr="00444264">
        <w:rPr>
          <w:rFonts w:asciiTheme="minorHAnsi" w:hAnsiTheme="minorHAnsi" w:cstheme="minorHAnsi"/>
          <w:sz w:val="22"/>
          <w:szCs w:val="22"/>
        </w:rPr>
        <w:t xml:space="preserve">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Pr="00444264" w:rsidRDefault="00A06F23" w:rsidP="00A06F23">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444264">
        <w:rPr>
          <w:rFonts w:asciiTheme="minorHAnsi" w:hAnsiTheme="minorHAnsi" w:cstheme="minorHAnsi"/>
          <w:b/>
          <w:sz w:val="22"/>
          <w:szCs w:val="22"/>
        </w:rPr>
        <w:t>Analiza DNSH</w:t>
      </w:r>
      <w:r w:rsidRPr="00444264">
        <w:rPr>
          <w:rFonts w:asciiTheme="minorHAnsi" w:hAnsiTheme="minorHAnsi" w:cstheme="minorHAnsi"/>
          <w:sz w:val="22"/>
          <w:szCs w:val="22"/>
        </w:rPr>
        <w:t xml:space="preserve"> – </w:t>
      </w:r>
      <w:r w:rsidR="00880E9E" w:rsidRPr="00444264">
        <w:rPr>
          <w:rFonts w:asciiTheme="minorHAnsi" w:hAnsiTheme="minorHAnsi" w:cstheme="minorHAnsi"/>
          <w:sz w:val="22"/>
          <w:szCs w:val="22"/>
          <w:shd w:val="clear" w:color="auto" w:fill="FFFFFF"/>
        </w:rPr>
        <w:t>analiza realizată</w:t>
      </w:r>
      <w:r w:rsidRPr="00444264">
        <w:rPr>
          <w:rFonts w:asciiTheme="minorHAnsi" w:hAnsiTheme="minorHAnsi" w:cstheme="minorHAnsi"/>
          <w:sz w:val="22"/>
          <w:szCs w:val="22"/>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27F60D97" w14:textId="2CF38C2A" w:rsidR="0005304D" w:rsidRPr="00444264" w:rsidRDefault="0005304D" w:rsidP="00A06F23">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444264">
        <w:rPr>
          <w:rFonts w:asciiTheme="minorHAnsi" w:hAnsiTheme="minorHAnsi" w:cstheme="minorHAnsi"/>
          <w:b/>
          <w:bCs/>
          <w:sz w:val="22"/>
          <w:szCs w:val="22"/>
          <w:shd w:val="clear" w:color="auto" w:fill="FFFFFF"/>
        </w:rPr>
        <w:t xml:space="preserve">Autoritate a administrației publice locale </w:t>
      </w:r>
      <w:r w:rsidRPr="00444264">
        <w:rPr>
          <w:rFonts w:asciiTheme="minorHAnsi" w:hAnsiTheme="minorHAnsi" w:cstheme="minorHAnsi"/>
          <w:sz w:val="22"/>
          <w:szCs w:val="22"/>
          <w:shd w:val="clear" w:color="auto" w:fill="FFFFFF"/>
        </w:rPr>
        <w:t>reprezintă o unitate administrativ-teritorială din mediu urban sau rural: județele, municipiile, orașele sau comunele, definite conform prevederilor OUG nr. 57 din 3 iulie 2019 privind Codul administrativ, cu modificările și completările ulterioare;</w:t>
      </w:r>
    </w:p>
    <w:p w14:paraId="7CC9D5DF" w14:textId="77777777" w:rsidR="00762DED" w:rsidRPr="00444264" w:rsidRDefault="00762DED" w:rsidP="00762DED">
      <w:pPr>
        <w:widowControl w:val="0"/>
        <w:pBdr>
          <w:top w:val="nil"/>
          <w:left w:val="nil"/>
          <w:bottom w:val="nil"/>
          <w:right w:val="nil"/>
          <w:between w:val="nil"/>
        </w:pBdr>
        <w:spacing w:before="240" w:after="0"/>
        <w:jc w:val="both"/>
        <w:rPr>
          <w:rFonts w:asciiTheme="minorHAnsi" w:hAnsiTheme="minorHAnsi" w:cstheme="minorHAnsi"/>
          <w:sz w:val="22"/>
          <w:szCs w:val="22"/>
        </w:rPr>
      </w:pPr>
      <w:r w:rsidRPr="00444264">
        <w:rPr>
          <w:rFonts w:asciiTheme="minorHAnsi" w:hAnsiTheme="minorHAnsi" w:cstheme="minorHAnsi"/>
          <w:b/>
          <w:sz w:val="22"/>
          <w:szCs w:val="22"/>
        </w:rPr>
        <w:t xml:space="preserve">Caracterul durabil </w:t>
      </w:r>
      <w:r w:rsidRPr="00444264">
        <w:rPr>
          <w:rFonts w:asciiTheme="minorHAnsi" w:hAnsiTheme="minorHAnsi" w:cstheme="minorHAnsi"/>
          <w:sz w:val="22"/>
          <w:szCs w:val="22"/>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61ED38E" w14:textId="77777777" w:rsidR="00762DED" w:rsidRPr="00444264"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2"/>
          <w:szCs w:val="22"/>
        </w:rPr>
      </w:pPr>
      <w:r w:rsidRPr="00444264">
        <w:rPr>
          <w:rFonts w:asciiTheme="minorHAnsi" w:hAnsiTheme="minorHAnsi" w:cstheme="minorHAnsi"/>
          <w:sz w:val="22"/>
          <w:szCs w:val="22"/>
        </w:rPr>
        <w:t xml:space="preserve">înceteze activitatea productivă sau să o transfere în afara regiunii de nivel NUTS 2 în care a primit sprijin; </w:t>
      </w:r>
    </w:p>
    <w:p w14:paraId="47A6DF0E" w14:textId="77777777" w:rsidR="00762DED" w:rsidRPr="00444264"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2"/>
          <w:szCs w:val="22"/>
        </w:rPr>
      </w:pPr>
      <w:r w:rsidRPr="00444264">
        <w:rPr>
          <w:rFonts w:asciiTheme="minorHAnsi" w:hAnsiTheme="minorHAnsi" w:cstheme="minorHAnsi"/>
          <w:sz w:val="22"/>
          <w:szCs w:val="22"/>
        </w:rPr>
        <w:t xml:space="preserve">să efectueze o modificare a proprietății asupra unui element de infrastructură care conferă un avantaj nejustificat unei întreprinderi sau unui organism public; </w:t>
      </w:r>
    </w:p>
    <w:p w14:paraId="520F52BA" w14:textId="266AE391" w:rsidR="00762DED" w:rsidRPr="00444264"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2"/>
          <w:szCs w:val="22"/>
        </w:rPr>
      </w:pPr>
      <w:r w:rsidRPr="00444264">
        <w:rPr>
          <w:rFonts w:asciiTheme="minorHAnsi" w:hAnsiTheme="minorHAnsi" w:cstheme="minorHAnsi"/>
          <w:sz w:val="22"/>
          <w:szCs w:val="22"/>
        </w:rPr>
        <w:t>să efectueze o modificare substanțială care afectează natura, obiectivele sau condițiile de implementare a operațiunii și care ar conduce la subminarea obiectivelor inițiale ale acesteia.</w:t>
      </w:r>
    </w:p>
    <w:p w14:paraId="5266384D" w14:textId="689FED79" w:rsidR="0005304D" w:rsidRPr="00444264" w:rsidRDefault="0005304D" w:rsidP="002E55DF">
      <w:pPr>
        <w:widowControl w:val="0"/>
        <w:pBdr>
          <w:top w:val="nil"/>
          <w:left w:val="nil"/>
          <w:bottom w:val="nil"/>
          <w:right w:val="nil"/>
          <w:between w:val="nil"/>
        </w:pBdr>
        <w:spacing w:before="240" w:after="0"/>
        <w:jc w:val="both"/>
        <w:rPr>
          <w:rFonts w:asciiTheme="minorHAnsi" w:hAnsiTheme="minorHAnsi" w:cstheme="minorHAnsi"/>
          <w:bCs/>
          <w:sz w:val="22"/>
          <w:szCs w:val="22"/>
        </w:rPr>
      </w:pPr>
      <w:r w:rsidRPr="00444264">
        <w:rPr>
          <w:rFonts w:asciiTheme="minorHAnsi" w:hAnsiTheme="minorHAnsi" w:cstheme="minorHAnsi"/>
          <w:b/>
          <w:sz w:val="22"/>
          <w:szCs w:val="22"/>
        </w:rPr>
        <w:t>Cererea de finanțare r</w:t>
      </w:r>
      <w:r w:rsidRPr="00444264">
        <w:rPr>
          <w:rFonts w:asciiTheme="minorHAnsi" w:hAnsiTheme="minorHAnsi" w:cstheme="minorHAnsi"/>
          <w:bCs/>
          <w:sz w:val="22"/>
          <w:szCs w:val="22"/>
        </w:rPr>
        <w:t>eprezintă aplicația depusă de potențialul beneficiar împreună cu documentele stabilite prin ghidul solicitantului ce se transmite prin aplicația MySMIS2021/SMIS2021+ în vederea obținerii finanțării în cadrul programelor regionale;</w:t>
      </w:r>
    </w:p>
    <w:p w14:paraId="49F3F548" w14:textId="1654E873" w:rsidR="00880E9E" w:rsidRPr="00444264" w:rsidRDefault="00880E9E" w:rsidP="002E55DF">
      <w:pPr>
        <w:widowControl w:val="0"/>
        <w:pBdr>
          <w:top w:val="nil"/>
          <w:left w:val="nil"/>
          <w:bottom w:val="nil"/>
          <w:right w:val="nil"/>
          <w:between w:val="nil"/>
        </w:pBdr>
        <w:spacing w:before="240" w:after="0"/>
        <w:jc w:val="both"/>
        <w:rPr>
          <w:rFonts w:asciiTheme="minorHAnsi" w:hAnsiTheme="minorHAnsi" w:cstheme="minorHAnsi"/>
          <w:b/>
          <w:sz w:val="22"/>
          <w:szCs w:val="22"/>
        </w:rPr>
      </w:pPr>
      <w:r w:rsidRPr="00444264">
        <w:rPr>
          <w:rFonts w:asciiTheme="minorHAnsi" w:hAnsiTheme="minorHAnsi" w:cstheme="minorHAnsi"/>
          <w:b/>
          <w:sz w:val="22"/>
          <w:szCs w:val="22"/>
        </w:rPr>
        <w:t xml:space="preserve">Contractul de finanțare </w:t>
      </w:r>
      <w:r w:rsidR="001D30B9" w:rsidRPr="00444264">
        <w:rPr>
          <w:rFonts w:asciiTheme="minorHAnsi" w:hAnsiTheme="minorHAnsi" w:cstheme="minorHAnsi"/>
          <w:sz w:val="22"/>
          <w:szCs w:val="22"/>
        </w:rPr>
        <w:t>-</w:t>
      </w:r>
      <w:r w:rsidRPr="00444264">
        <w:rPr>
          <w:rFonts w:asciiTheme="minorHAnsi" w:hAnsiTheme="minorHAnsi" w:cstheme="minorHAnsi"/>
          <w:sz w:val="22"/>
          <w:szCs w:val="22"/>
        </w:rPr>
        <w:t xml:space="preserv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6BBD5E26" w14:textId="47A973E0" w:rsidR="00503EE6" w:rsidRPr="00444264" w:rsidRDefault="00503EE6" w:rsidP="00D87A5D">
      <w:pPr>
        <w:spacing w:after="0"/>
        <w:jc w:val="both"/>
        <w:rPr>
          <w:rFonts w:asciiTheme="minorHAnsi" w:eastAsiaTheme="minorHAnsi" w:hAnsiTheme="minorHAnsi" w:cstheme="minorHAnsi"/>
          <w:bCs/>
          <w:sz w:val="22"/>
          <w:szCs w:val="22"/>
        </w:rPr>
      </w:pPr>
      <w:r w:rsidRPr="00444264">
        <w:rPr>
          <w:rFonts w:asciiTheme="minorHAnsi" w:eastAsiaTheme="minorHAnsi" w:hAnsiTheme="minorHAnsi" w:cstheme="minorHAnsi"/>
          <w:b/>
          <w:sz w:val="22"/>
          <w:szCs w:val="22"/>
        </w:rPr>
        <w:lastRenderedPageBreak/>
        <w:t xml:space="preserve">Ghidul solicitantului </w:t>
      </w:r>
      <w:r w:rsidRPr="00444264">
        <w:rPr>
          <w:rFonts w:asciiTheme="minorHAnsi" w:eastAsiaTheme="minorHAnsi" w:hAnsiTheme="minorHAnsi" w:cstheme="minorHAnsi"/>
          <w:bCs/>
          <w:sz w:val="22"/>
          <w:szCs w:val="22"/>
        </w:rPr>
        <w:t>reprezintă un document programatic ce cuprinde condițiile specifice de accesare/acordare a fondurilor nerambursabile. Documentul conține o detaliere tehnică și financiară a condițiilor impuse potențialilor beneficiari pentru pregătirea proiectelor și completarea corectă a cererilor de finanțare;</w:t>
      </w:r>
    </w:p>
    <w:p w14:paraId="62BF1926" w14:textId="0834C15F" w:rsidR="000F25F5" w:rsidRPr="00444264" w:rsidRDefault="000F25F5" w:rsidP="00D87A5D">
      <w:pPr>
        <w:spacing w:after="0"/>
        <w:jc w:val="both"/>
        <w:rPr>
          <w:rFonts w:asciiTheme="minorHAnsi" w:eastAsiaTheme="minorHAnsi" w:hAnsiTheme="minorHAnsi" w:cstheme="minorHAnsi"/>
          <w:bCs/>
          <w:sz w:val="22"/>
          <w:szCs w:val="22"/>
        </w:rPr>
      </w:pPr>
      <w:r w:rsidRPr="00444264">
        <w:rPr>
          <w:rFonts w:asciiTheme="minorHAnsi" w:eastAsiaTheme="minorHAnsi" w:hAnsiTheme="minorHAnsi" w:cstheme="minorHAnsi"/>
          <w:b/>
          <w:sz w:val="22"/>
          <w:szCs w:val="22"/>
        </w:rPr>
        <w:t xml:space="preserve">Fondatori </w:t>
      </w:r>
      <w:r w:rsidRPr="00444264">
        <w:rPr>
          <w:rFonts w:asciiTheme="minorHAnsi" w:eastAsiaTheme="minorHAnsi" w:hAnsiTheme="minorHAnsi" w:cstheme="minorHAnsi"/>
          <w:bCs/>
          <w:sz w:val="22"/>
          <w:szCs w:val="22"/>
        </w:rPr>
        <w:t>pot fi unități administrativ-teritoriale, persoanele fizice sau juridice de drept privat, române ori străine, împreună sau separat, care inițiază constituirea unui parc industrial, conform Legii nr. 186/2013, cu modificările și completările ulterioare;</w:t>
      </w:r>
    </w:p>
    <w:p w14:paraId="0CB69315" w14:textId="33916430" w:rsidR="00D93EDC" w:rsidRPr="00444264" w:rsidRDefault="00E564E4" w:rsidP="00D87A5D">
      <w:pPr>
        <w:spacing w:after="0"/>
        <w:jc w:val="both"/>
        <w:rPr>
          <w:rFonts w:asciiTheme="minorHAnsi" w:eastAsiaTheme="minorHAnsi" w:hAnsiTheme="minorHAnsi" w:cstheme="minorHAnsi"/>
          <w:sz w:val="22"/>
          <w:szCs w:val="22"/>
        </w:rPr>
      </w:pPr>
      <w:r w:rsidRPr="00444264">
        <w:rPr>
          <w:rFonts w:asciiTheme="minorHAnsi" w:eastAsiaTheme="minorHAnsi" w:hAnsiTheme="minorHAnsi" w:cstheme="minorHAnsi"/>
          <w:b/>
          <w:sz w:val="22"/>
          <w:szCs w:val="22"/>
        </w:rPr>
        <w:t xml:space="preserve">Imobilul </w:t>
      </w:r>
      <w:r w:rsidRPr="00444264">
        <w:rPr>
          <w:rFonts w:asciiTheme="minorHAnsi" w:eastAsiaTheme="minorHAnsi" w:hAnsiTheme="minorHAnsi" w:cstheme="minorHAnsi"/>
          <w:sz w:val="22"/>
          <w:szCs w:val="22"/>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3BAD7B43" w14:textId="3116F804" w:rsidR="00FC1128" w:rsidRPr="00444264" w:rsidRDefault="00FC1128" w:rsidP="00D87A5D">
      <w:pPr>
        <w:spacing w:after="0"/>
        <w:jc w:val="both"/>
        <w:rPr>
          <w:rFonts w:asciiTheme="minorHAnsi" w:hAnsiTheme="minorHAnsi" w:cstheme="minorHAnsi"/>
          <w:sz w:val="22"/>
          <w:szCs w:val="22"/>
          <w:shd w:val="clear" w:color="auto" w:fill="FFFFFF"/>
        </w:rPr>
      </w:pPr>
      <w:r w:rsidRPr="00444264">
        <w:rPr>
          <w:rFonts w:asciiTheme="minorHAnsi" w:hAnsiTheme="minorHAnsi" w:cstheme="minorHAnsi"/>
          <w:b/>
          <w:sz w:val="22"/>
          <w:szCs w:val="22"/>
          <w:shd w:val="clear" w:color="auto" w:fill="FFFFFF"/>
        </w:rPr>
        <w:t>Imunizare la schimbările climatice</w:t>
      </w:r>
      <w:r w:rsidRPr="00444264">
        <w:rPr>
          <w:rFonts w:asciiTheme="minorHAnsi" w:hAnsiTheme="minorHAnsi" w:cstheme="minorHAnsi"/>
          <w:sz w:val="22"/>
          <w:szCs w:val="22"/>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2E252E10" w14:textId="2699DB62" w:rsidR="00503EE6" w:rsidRPr="00444264" w:rsidRDefault="00503EE6" w:rsidP="00503EE6">
      <w:pPr>
        <w:spacing w:after="0"/>
        <w:jc w:val="both"/>
        <w:rPr>
          <w:rFonts w:asciiTheme="minorHAnsi" w:eastAsiaTheme="minorHAnsi" w:hAnsiTheme="minorHAnsi" w:cstheme="minorHAnsi"/>
          <w:sz w:val="22"/>
          <w:szCs w:val="22"/>
        </w:rPr>
      </w:pPr>
      <w:r w:rsidRPr="00444264">
        <w:rPr>
          <w:rFonts w:asciiTheme="minorHAnsi" w:eastAsiaTheme="minorHAnsi" w:hAnsiTheme="minorHAnsi" w:cstheme="minorHAnsi"/>
          <w:b/>
          <w:bCs/>
          <w:sz w:val="22"/>
          <w:szCs w:val="22"/>
        </w:rPr>
        <w:t>Inovare de proces</w:t>
      </w:r>
      <w:r w:rsidRPr="00444264">
        <w:rPr>
          <w:rFonts w:asciiTheme="minorHAnsi" w:eastAsiaTheme="minorHAnsi" w:hAnsiTheme="minorHAnsi" w:cstheme="minorHAnsi"/>
          <w:sz w:val="22"/>
          <w:szCs w:val="22"/>
        </w:rPr>
        <w:t xml:space="preserve"> înseamnă punerea în aplicare a unei metode de producție sau de livrare noi sau îmbunătățite semnificativ (inclusiv modificări semnificative de tehnici, echipamente sau software), excepție făcând schimbările sau îmbunătățirile minore, creșterea capacităților de producţie sau de prestare de servicii prin adăugarea de sisteme de fabricaţie sau logistice care sunt foarte asemănătoare cu cele utilizate deja, încetarea utilizării unui proces, simpla înlocuire sau majorare a capitalului, schimbări rezultate numai din modificarea prețurilor factorilor, personalizarea producției, localizarea, schimbările regulate, sezoniere şi alte schimbări ciclice şi comercializarea de produse noi sau îmbunătăţite semnificativ;</w:t>
      </w:r>
    </w:p>
    <w:p w14:paraId="6364EE15" w14:textId="77777777" w:rsidR="00503EE6" w:rsidRPr="00444264" w:rsidRDefault="00503EE6" w:rsidP="00503EE6">
      <w:pPr>
        <w:spacing w:after="0"/>
        <w:jc w:val="both"/>
        <w:rPr>
          <w:rFonts w:asciiTheme="minorHAnsi" w:eastAsiaTheme="minorHAnsi" w:hAnsiTheme="minorHAnsi" w:cstheme="minorHAnsi"/>
          <w:sz w:val="22"/>
          <w:szCs w:val="22"/>
        </w:rPr>
      </w:pPr>
      <w:r w:rsidRPr="00444264">
        <w:rPr>
          <w:rFonts w:asciiTheme="minorHAnsi" w:eastAsiaTheme="minorHAnsi" w:hAnsiTheme="minorHAnsi" w:cstheme="minorHAnsi"/>
          <w:b/>
          <w:bCs/>
          <w:sz w:val="22"/>
          <w:szCs w:val="22"/>
        </w:rPr>
        <w:t>Intensitatea ajutorului</w:t>
      </w:r>
      <w:r w:rsidRPr="00444264">
        <w:rPr>
          <w:rFonts w:asciiTheme="minorHAnsi" w:eastAsiaTheme="minorHAnsi" w:hAnsiTheme="minorHAnsi" w:cstheme="minorHAnsi"/>
          <w:sz w:val="22"/>
          <w:szCs w:val="22"/>
        </w:rPr>
        <w:t xml:space="preserve"> înseamnă valoarea brută a ajutorului exprimată ca procent din costurile eligibile, înainte de deducerea impozitelor sau a altor taxe. Costurile eligibile se susţin prin documente justificative clare, specifice şi contemporane cu faptele;</w:t>
      </w:r>
    </w:p>
    <w:p w14:paraId="0CCE56BD" w14:textId="320E8667" w:rsidR="00503EE6" w:rsidRPr="00444264" w:rsidRDefault="00503EE6" w:rsidP="00503EE6">
      <w:pPr>
        <w:spacing w:after="0"/>
        <w:jc w:val="both"/>
        <w:rPr>
          <w:rFonts w:asciiTheme="minorHAnsi" w:eastAsiaTheme="minorHAnsi" w:hAnsiTheme="minorHAnsi" w:cstheme="minorHAnsi"/>
          <w:sz w:val="22"/>
          <w:szCs w:val="22"/>
        </w:rPr>
      </w:pPr>
      <w:r w:rsidRPr="00444264">
        <w:rPr>
          <w:rFonts w:asciiTheme="minorHAnsi" w:eastAsiaTheme="minorHAnsi" w:hAnsiTheme="minorHAnsi" w:cstheme="minorHAnsi"/>
          <w:b/>
          <w:bCs/>
          <w:sz w:val="22"/>
          <w:szCs w:val="22"/>
        </w:rPr>
        <w:t xml:space="preserve">Investiția inițială </w:t>
      </w:r>
      <w:r w:rsidRPr="00444264">
        <w:rPr>
          <w:rFonts w:asciiTheme="minorHAnsi" w:eastAsiaTheme="minorHAnsi" w:hAnsiTheme="minorHAnsi" w:cstheme="minorHAnsi"/>
          <w:sz w:val="22"/>
          <w:szCs w:val="22"/>
        </w:rPr>
        <w:t>reprezintă o investiție în active corporale și necorporale legată de demararea (crearea) unei unități noi, extinderea capacității unei unități existente, diversificarea producției unei unități prin produse/servicii care nu au fost fabricate/prestate anterior în unitate sau o schimbare fundamentală a procesului general de producție al unei unități existente;</w:t>
      </w:r>
    </w:p>
    <w:p w14:paraId="238DD9B8" w14:textId="0AF351B1" w:rsidR="00AF555C" w:rsidRPr="00444264" w:rsidRDefault="00AF555C" w:rsidP="00503EE6">
      <w:pPr>
        <w:spacing w:after="0"/>
        <w:jc w:val="both"/>
        <w:rPr>
          <w:rFonts w:asciiTheme="minorHAnsi" w:eastAsiaTheme="minorHAnsi" w:hAnsiTheme="minorHAnsi" w:cstheme="minorHAnsi"/>
          <w:sz w:val="22"/>
          <w:szCs w:val="22"/>
        </w:rPr>
      </w:pPr>
      <w:r w:rsidRPr="00444264">
        <w:rPr>
          <w:rFonts w:asciiTheme="minorHAnsi" w:eastAsiaTheme="minorHAnsi" w:hAnsiTheme="minorHAnsi" w:cstheme="minorHAnsi"/>
          <w:b/>
          <w:bCs/>
          <w:sz w:val="22"/>
          <w:szCs w:val="22"/>
        </w:rPr>
        <w:t xml:space="preserve">Parc industrial </w:t>
      </w:r>
      <w:r w:rsidR="001A2C3D" w:rsidRPr="00444264">
        <w:rPr>
          <w:rFonts w:asciiTheme="minorHAnsi" w:eastAsiaTheme="minorHAnsi" w:hAnsiTheme="minorHAnsi" w:cstheme="minorHAnsi"/>
          <w:sz w:val="22"/>
          <w:szCs w:val="22"/>
        </w:rPr>
        <w:t>-</w:t>
      </w:r>
      <w:r w:rsidRPr="00444264">
        <w:rPr>
          <w:rFonts w:asciiTheme="minorHAnsi" w:eastAsiaTheme="minorHAnsi" w:hAnsiTheme="minorHAnsi" w:cstheme="minorHAnsi"/>
          <w:sz w:val="22"/>
          <w:szCs w:val="22"/>
        </w:rPr>
        <w:t xml:space="preserve"> </w:t>
      </w:r>
      <w:r w:rsidR="001A2C3D" w:rsidRPr="00444264">
        <w:rPr>
          <w:rFonts w:asciiTheme="minorHAnsi" w:eastAsiaTheme="minorHAnsi" w:hAnsiTheme="minorHAnsi" w:cstheme="minorHAnsi"/>
          <w:sz w:val="22"/>
          <w:szCs w:val="22"/>
        </w:rPr>
        <w:t>reprezintă o zonă delimitată în care se desfăşoară activităţi economice, de cercetare ştiinţifică, de producţie industrială şi servicii, de valorificare a cercetării ştiinţifice şi/sau de dezvoltare tehnologică, într-un regim de facilităţi specifice, în vederea valorificării potenţialului uman şi material al zonei;</w:t>
      </w:r>
    </w:p>
    <w:p w14:paraId="4A4D6458" w14:textId="77777777" w:rsidR="00C76814" w:rsidRPr="00444264" w:rsidRDefault="00C76814" w:rsidP="00C76814">
      <w:pPr>
        <w:spacing w:after="0"/>
        <w:jc w:val="both"/>
        <w:rPr>
          <w:rFonts w:asciiTheme="minorHAnsi" w:eastAsiaTheme="minorHAnsi" w:hAnsiTheme="minorHAnsi" w:cstheme="minorHAnsi"/>
          <w:sz w:val="22"/>
          <w:szCs w:val="22"/>
        </w:rPr>
      </w:pPr>
      <w:r w:rsidRPr="00444264">
        <w:rPr>
          <w:rFonts w:asciiTheme="minorHAnsi" w:eastAsiaTheme="minorHAnsi" w:hAnsiTheme="minorHAnsi" w:cstheme="minorHAnsi"/>
          <w:b/>
          <w:bCs/>
          <w:sz w:val="22"/>
          <w:szCs w:val="22"/>
        </w:rPr>
        <w:t>Perioada de durabilitate</w:t>
      </w:r>
      <w:r w:rsidRPr="00444264">
        <w:rPr>
          <w:rFonts w:asciiTheme="minorHAnsi" w:eastAsiaTheme="minorHAnsi" w:hAnsiTheme="minorHAnsi" w:cstheme="minorHAnsi"/>
          <w:sz w:val="22"/>
          <w:szCs w:val="22"/>
        </w:rPr>
        <w:t xml:space="preserve"> reprezintă intervalul de timp în care beneficiarul trebuie să mențină investiția. Perioada de durabilitate este de 5 ani pentru un proiect. Termenul începe să curgă de la momentul finalizării proiectului;</w:t>
      </w:r>
    </w:p>
    <w:p w14:paraId="452C89FF" w14:textId="278E702B" w:rsidR="00C76814" w:rsidRPr="00444264" w:rsidRDefault="00C76814" w:rsidP="00C76814">
      <w:pPr>
        <w:spacing w:after="0"/>
        <w:jc w:val="both"/>
        <w:rPr>
          <w:rFonts w:asciiTheme="minorHAnsi" w:eastAsiaTheme="minorHAnsi" w:hAnsiTheme="minorHAnsi" w:cstheme="minorHAnsi"/>
          <w:sz w:val="22"/>
          <w:szCs w:val="22"/>
        </w:rPr>
      </w:pPr>
      <w:r w:rsidRPr="00444264">
        <w:rPr>
          <w:rFonts w:asciiTheme="minorHAnsi" w:eastAsiaTheme="minorHAnsi" w:hAnsiTheme="minorHAnsi" w:cstheme="minorHAnsi"/>
          <w:b/>
          <w:bCs/>
          <w:sz w:val="22"/>
          <w:szCs w:val="22"/>
        </w:rPr>
        <w:t xml:space="preserve">Planul de dezvoltare al parcului </w:t>
      </w:r>
      <w:r w:rsidRPr="00444264">
        <w:rPr>
          <w:rFonts w:asciiTheme="minorHAnsi" w:eastAsiaTheme="minorHAnsi" w:hAnsiTheme="minorHAnsi" w:cstheme="minorHAnsi"/>
          <w:sz w:val="22"/>
          <w:szCs w:val="22"/>
        </w:rPr>
        <w:t>reprezintă documentul de planificare elaborat de către fondatorii parcului care cuprinde investițiile necesare pentru crearea/dezvoltarea/modernizare parcurilor coroborate cu activitățile specifice domeniilor de specializare inteligentă, identificate la nivel regional;</w:t>
      </w:r>
    </w:p>
    <w:p w14:paraId="40EB9437" w14:textId="0345CA70" w:rsidR="00E564E4" w:rsidRPr="00444264" w:rsidRDefault="00E564E4" w:rsidP="00E564E4">
      <w:pPr>
        <w:widowControl w:val="0"/>
        <w:pBdr>
          <w:top w:val="nil"/>
          <w:left w:val="nil"/>
          <w:bottom w:val="nil"/>
          <w:right w:val="nil"/>
          <w:between w:val="nil"/>
        </w:pBdr>
        <w:spacing w:before="240" w:after="0"/>
        <w:jc w:val="both"/>
        <w:rPr>
          <w:rFonts w:asciiTheme="minorHAnsi" w:hAnsiTheme="minorHAnsi" w:cstheme="minorHAnsi"/>
          <w:sz w:val="22"/>
          <w:szCs w:val="22"/>
        </w:rPr>
      </w:pPr>
      <w:r w:rsidRPr="00444264">
        <w:rPr>
          <w:rFonts w:asciiTheme="minorHAnsi" w:hAnsiTheme="minorHAnsi" w:cstheme="minorHAnsi"/>
          <w:b/>
          <w:sz w:val="22"/>
          <w:szCs w:val="22"/>
        </w:rPr>
        <w:t xml:space="preserve">Regiunea de Dezvoltare </w:t>
      </w:r>
      <w:r w:rsidR="00D93EDC" w:rsidRPr="00444264">
        <w:rPr>
          <w:rFonts w:asciiTheme="minorHAnsi" w:hAnsiTheme="minorHAnsi" w:cstheme="minorHAnsi"/>
          <w:b/>
          <w:sz w:val="22"/>
          <w:szCs w:val="22"/>
        </w:rPr>
        <w:t>Sud</w:t>
      </w:r>
      <w:r w:rsidRPr="00444264">
        <w:rPr>
          <w:rFonts w:asciiTheme="minorHAnsi" w:hAnsiTheme="minorHAnsi" w:cstheme="minorHAnsi"/>
          <w:b/>
          <w:sz w:val="22"/>
          <w:szCs w:val="22"/>
        </w:rPr>
        <w:t>-Vest</w:t>
      </w:r>
      <w:r w:rsidR="00D93EDC" w:rsidRPr="00444264">
        <w:rPr>
          <w:rFonts w:asciiTheme="minorHAnsi" w:hAnsiTheme="minorHAnsi" w:cstheme="minorHAnsi"/>
          <w:b/>
          <w:sz w:val="22"/>
          <w:szCs w:val="22"/>
        </w:rPr>
        <w:t xml:space="preserve"> Oltenia</w:t>
      </w:r>
      <w:r w:rsidRPr="00444264">
        <w:rPr>
          <w:rFonts w:asciiTheme="minorHAnsi" w:hAnsiTheme="minorHAnsi" w:cstheme="minorHAnsi"/>
          <w:sz w:val="22"/>
          <w:szCs w:val="22"/>
        </w:rPr>
        <w:t xml:space="preserve"> cuprinde județele</w:t>
      </w:r>
      <w:r w:rsidR="00D93EDC" w:rsidRPr="00444264">
        <w:rPr>
          <w:rFonts w:asciiTheme="minorHAnsi" w:hAnsiTheme="minorHAnsi" w:cstheme="minorHAnsi"/>
          <w:sz w:val="22"/>
          <w:szCs w:val="22"/>
        </w:rPr>
        <w:t xml:space="preserve"> </w:t>
      </w:r>
      <w:hyperlink r:id="rId8" w:tooltip="Dolj" w:history="1">
        <w:r w:rsidR="00D93EDC" w:rsidRPr="00444264">
          <w:rPr>
            <w:rStyle w:val="Hyperlink"/>
            <w:rFonts w:asciiTheme="minorHAnsi" w:hAnsiTheme="minorHAnsi" w:cstheme="minorHAnsi"/>
            <w:color w:val="auto"/>
            <w:sz w:val="22"/>
            <w:szCs w:val="22"/>
            <w:u w:val="none"/>
            <w:shd w:val="clear" w:color="auto" w:fill="FFFFFF"/>
          </w:rPr>
          <w:t>Dolj</w:t>
        </w:r>
      </w:hyperlink>
      <w:r w:rsidR="00D93EDC" w:rsidRPr="00444264">
        <w:rPr>
          <w:rFonts w:asciiTheme="minorHAnsi" w:hAnsiTheme="minorHAnsi" w:cstheme="minorHAnsi"/>
          <w:sz w:val="22"/>
          <w:szCs w:val="22"/>
          <w:shd w:val="clear" w:color="auto" w:fill="FFFFFF"/>
        </w:rPr>
        <w:t>,</w:t>
      </w:r>
      <w:r w:rsidR="00212A79" w:rsidRPr="00444264">
        <w:rPr>
          <w:rFonts w:asciiTheme="minorHAnsi" w:hAnsiTheme="minorHAnsi" w:cstheme="minorHAnsi"/>
          <w:sz w:val="22"/>
          <w:szCs w:val="22"/>
          <w:shd w:val="clear" w:color="auto" w:fill="FFFFFF"/>
        </w:rPr>
        <w:t xml:space="preserve"> </w:t>
      </w:r>
      <w:hyperlink r:id="rId9" w:tooltip="Gorj" w:history="1">
        <w:r w:rsidR="00D93EDC" w:rsidRPr="00444264">
          <w:rPr>
            <w:rStyle w:val="Hyperlink"/>
            <w:rFonts w:asciiTheme="minorHAnsi" w:hAnsiTheme="minorHAnsi" w:cstheme="minorHAnsi"/>
            <w:color w:val="auto"/>
            <w:sz w:val="22"/>
            <w:szCs w:val="22"/>
            <w:u w:val="none"/>
            <w:shd w:val="clear" w:color="auto" w:fill="FFFFFF"/>
          </w:rPr>
          <w:t>Gorj</w:t>
        </w:r>
      </w:hyperlink>
      <w:r w:rsidR="00D93EDC" w:rsidRPr="00444264">
        <w:rPr>
          <w:rFonts w:asciiTheme="minorHAnsi" w:hAnsiTheme="minorHAnsi" w:cstheme="minorHAnsi"/>
          <w:sz w:val="22"/>
          <w:szCs w:val="22"/>
          <w:shd w:val="clear" w:color="auto" w:fill="FFFFFF"/>
        </w:rPr>
        <w:t>,</w:t>
      </w:r>
      <w:r w:rsidR="00212A79" w:rsidRPr="00444264">
        <w:rPr>
          <w:rFonts w:asciiTheme="minorHAnsi" w:hAnsiTheme="minorHAnsi" w:cstheme="minorHAnsi"/>
          <w:sz w:val="22"/>
          <w:szCs w:val="22"/>
          <w:shd w:val="clear" w:color="auto" w:fill="FFFFFF"/>
        </w:rPr>
        <w:t xml:space="preserve"> </w:t>
      </w:r>
      <w:hyperlink r:id="rId10" w:tooltip="Mehedinți" w:history="1">
        <w:r w:rsidR="00D93EDC" w:rsidRPr="00444264">
          <w:rPr>
            <w:rStyle w:val="Hyperlink"/>
            <w:rFonts w:asciiTheme="minorHAnsi" w:hAnsiTheme="minorHAnsi" w:cstheme="minorHAnsi"/>
            <w:color w:val="auto"/>
            <w:sz w:val="22"/>
            <w:szCs w:val="22"/>
            <w:u w:val="none"/>
            <w:shd w:val="clear" w:color="auto" w:fill="FFFFFF"/>
          </w:rPr>
          <w:t>Mehedinți</w:t>
        </w:r>
      </w:hyperlink>
      <w:r w:rsidR="00D93EDC" w:rsidRPr="00444264">
        <w:rPr>
          <w:rFonts w:asciiTheme="minorHAnsi" w:hAnsiTheme="minorHAnsi" w:cstheme="minorHAnsi"/>
          <w:sz w:val="22"/>
          <w:szCs w:val="22"/>
          <w:shd w:val="clear" w:color="auto" w:fill="FFFFFF"/>
        </w:rPr>
        <w:t>,</w:t>
      </w:r>
      <w:r w:rsidR="00212A79" w:rsidRPr="00444264">
        <w:rPr>
          <w:rFonts w:asciiTheme="minorHAnsi" w:hAnsiTheme="minorHAnsi" w:cstheme="minorHAnsi"/>
          <w:sz w:val="22"/>
          <w:szCs w:val="22"/>
          <w:shd w:val="clear" w:color="auto" w:fill="FFFFFF"/>
        </w:rPr>
        <w:t xml:space="preserve"> </w:t>
      </w:r>
      <w:hyperlink r:id="rId11" w:tooltip="Olt" w:history="1">
        <w:r w:rsidR="00D93EDC" w:rsidRPr="00444264">
          <w:rPr>
            <w:rStyle w:val="Hyperlink"/>
            <w:rFonts w:asciiTheme="minorHAnsi" w:hAnsiTheme="minorHAnsi" w:cstheme="minorHAnsi"/>
            <w:color w:val="auto"/>
            <w:sz w:val="22"/>
            <w:szCs w:val="22"/>
            <w:u w:val="none"/>
            <w:shd w:val="clear" w:color="auto" w:fill="FFFFFF"/>
          </w:rPr>
          <w:t>Olt</w:t>
        </w:r>
      </w:hyperlink>
      <w:r w:rsidR="00212A79" w:rsidRPr="00444264">
        <w:rPr>
          <w:rFonts w:asciiTheme="minorHAnsi" w:hAnsiTheme="minorHAnsi" w:cstheme="minorHAnsi"/>
          <w:sz w:val="22"/>
          <w:szCs w:val="22"/>
          <w:shd w:val="clear" w:color="auto" w:fill="FFFFFF"/>
        </w:rPr>
        <w:t xml:space="preserve"> </w:t>
      </w:r>
      <w:r w:rsidR="00D93EDC" w:rsidRPr="00444264">
        <w:rPr>
          <w:rFonts w:asciiTheme="minorHAnsi" w:hAnsiTheme="minorHAnsi" w:cstheme="minorHAnsi"/>
          <w:sz w:val="22"/>
          <w:szCs w:val="22"/>
          <w:shd w:val="clear" w:color="auto" w:fill="FFFFFF"/>
        </w:rPr>
        <w:t>și</w:t>
      </w:r>
      <w:r w:rsidR="00212A79" w:rsidRPr="00444264">
        <w:rPr>
          <w:rFonts w:asciiTheme="minorHAnsi" w:hAnsiTheme="minorHAnsi" w:cstheme="minorHAnsi"/>
          <w:sz w:val="22"/>
          <w:szCs w:val="22"/>
          <w:shd w:val="clear" w:color="auto" w:fill="FFFFFF"/>
        </w:rPr>
        <w:t xml:space="preserve"> </w:t>
      </w:r>
      <w:hyperlink r:id="rId12" w:tooltip="Vâlcea" w:history="1">
        <w:r w:rsidR="00D93EDC" w:rsidRPr="00444264">
          <w:rPr>
            <w:rStyle w:val="Hyperlink"/>
            <w:rFonts w:asciiTheme="minorHAnsi" w:hAnsiTheme="minorHAnsi" w:cstheme="minorHAnsi"/>
            <w:color w:val="auto"/>
            <w:sz w:val="22"/>
            <w:szCs w:val="22"/>
            <w:u w:val="none"/>
            <w:shd w:val="clear" w:color="auto" w:fill="FFFFFF"/>
          </w:rPr>
          <w:t>Vâlcea</w:t>
        </w:r>
      </w:hyperlink>
      <w:r w:rsidRPr="00444264">
        <w:rPr>
          <w:rFonts w:asciiTheme="minorHAnsi" w:hAnsiTheme="minorHAnsi" w:cstheme="minorHAnsi"/>
          <w:sz w:val="22"/>
          <w:szCs w:val="22"/>
        </w:rPr>
        <w:t>, astfel cum au fost acestea grupate în cadrul Anexei la Legea nr. 315 din 28 iunie 2004 privind dezvoltarea regională în România.</w:t>
      </w:r>
      <w:r w:rsidRPr="00444264">
        <w:rPr>
          <w:rFonts w:asciiTheme="minorHAnsi" w:hAnsiTheme="minorHAnsi" w:cstheme="minorHAnsi"/>
          <w:sz w:val="22"/>
          <w:szCs w:val="22"/>
          <w:vertAlign w:val="superscript"/>
        </w:rPr>
        <w:t xml:space="preserve"> </w:t>
      </w:r>
      <w:r w:rsidRPr="00444264">
        <w:rPr>
          <w:rFonts w:asciiTheme="minorHAnsi" w:hAnsiTheme="minorHAnsi" w:cstheme="minorHAnsi"/>
          <w:sz w:val="22"/>
          <w:szCs w:val="22"/>
        </w:rPr>
        <w:t>Regiunea este o entitate teritorială specifică, fără statut administrativ și fără personalitate juridică, ce corespunde diviziunilor de nivel NUTS 2 în Nomenclatorul unităților statistice teritoriale ale Uniunii Europene</w:t>
      </w:r>
      <w:r w:rsidR="000A15D1" w:rsidRPr="00444264">
        <w:rPr>
          <w:rFonts w:asciiTheme="minorHAnsi" w:hAnsiTheme="minorHAnsi" w:cstheme="minorHAnsi"/>
          <w:sz w:val="22"/>
          <w:szCs w:val="22"/>
        </w:rPr>
        <w:t>;</w:t>
      </w:r>
    </w:p>
    <w:p w14:paraId="226F6AD3" w14:textId="5D7B4462" w:rsidR="000A15D1" w:rsidRPr="00444264" w:rsidRDefault="000A15D1" w:rsidP="00E564E4">
      <w:pPr>
        <w:widowControl w:val="0"/>
        <w:pBdr>
          <w:top w:val="nil"/>
          <w:left w:val="nil"/>
          <w:bottom w:val="nil"/>
          <w:right w:val="nil"/>
          <w:between w:val="nil"/>
        </w:pBdr>
        <w:spacing w:before="240" w:after="0"/>
        <w:jc w:val="both"/>
        <w:rPr>
          <w:rFonts w:asciiTheme="minorHAnsi" w:hAnsiTheme="minorHAnsi" w:cstheme="minorHAnsi"/>
          <w:sz w:val="22"/>
          <w:szCs w:val="22"/>
        </w:rPr>
      </w:pPr>
      <w:r w:rsidRPr="00444264">
        <w:rPr>
          <w:rFonts w:asciiTheme="minorHAnsi" w:hAnsiTheme="minorHAnsi" w:cstheme="minorHAnsi"/>
          <w:b/>
          <w:bCs/>
          <w:sz w:val="22"/>
          <w:szCs w:val="22"/>
        </w:rPr>
        <w:t xml:space="preserve">Rezidentul parcului </w:t>
      </w:r>
      <w:r w:rsidRPr="00444264">
        <w:rPr>
          <w:rFonts w:asciiTheme="minorHAnsi" w:hAnsiTheme="minorHAnsi" w:cstheme="minorHAnsi"/>
          <w:sz w:val="22"/>
          <w:szCs w:val="22"/>
        </w:rPr>
        <w:t>poate fi orice operator economic, persoană juridică română şi/sau străină, ONG-</w:t>
      </w:r>
      <w:r w:rsidRPr="00444264">
        <w:rPr>
          <w:rFonts w:asciiTheme="minorHAnsi" w:hAnsiTheme="minorHAnsi" w:cstheme="minorHAnsi"/>
          <w:sz w:val="22"/>
          <w:szCs w:val="22"/>
        </w:rPr>
        <w:lastRenderedPageBreak/>
        <w:t>uri, instituţii de cercetare şi alte unităţi care nu au personalitate juridică, care funcţionează conform legii şi desfăşoară activităţi economice, de cercetare ştiinţifică, de valorificare a cercetării ştiinţifice şi/sau de dezvoltare tehnologică, agroindustriale, logistice şi inovative, industriale etc., în cadrul parcului industrial;</w:t>
      </w:r>
    </w:p>
    <w:p w14:paraId="46C5B5E7" w14:textId="77777777" w:rsidR="00AF555C" w:rsidRPr="00444264" w:rsidRDefault="00AF555C" w:rsidP="00AF555C">
      <w:pPr>
        <w:widowControl w:val="0"/>
        <w:pBdr>
          <w:top w:val="nil"/>
          <w:left w:val="nil"/>
          <w:bottom w:val="nil"/>
          <w:right w:val="nil"/>
          <w:between w:val="nil"/>
        </w:pBdr>
        <w:spacing w:before="240" w:after="0"/>
        <w:jc w:val="both"/>
        <w:rPr>
          <w:rFonts w:asciiTheme="minorHAnsi" w:hAnsiTheme="minorHAnsi" w:cstheme="minorHAnsi"/>
          <w:sz w:val="22"/>
          <w:szCs w:val="22"/>
        </w:rPr>
      </w:pPr>
      <w:r w:rsidRPr="00444264">
        <w:rPr>
          <w:rFonts w:asciiTheme="minorHAnsi" w:hAnsiTheme="minorHAnsi" w:cstheme="minorHAnsi"/>
          <w:b/>
          <w:bCs/>
          <w:sz w:val="22"/>
          <w:szCs w:val="22"/>
        </w:rPr>
        <w:t>Studiu de fezabilitate</w:t>
      </w:r>
      <w:r w:rsidRPr="00444264">
        <w:rPr>
          <w:rFonts w:asciiTheme="minorHAnsi" w:hAnsiTheme="minorHAnsi" w:cstheme="minorHAnsi"/>
          <w:sz w:val="22"/>
          <w:szCs w:val="22"/>
        </w:rPr>
        <w:t xml:space="preserve"> înseamnă evaluarea și analiza potențialului unui proiect care urmărește să vină în sprijinul procesului decizional, evidențiind în mod obiectiv și rațional punctele forte şi punctele slabe ale acestuia, oportunitățile și amenințările, și identificând resursele necesare pentru punerea în practică și, în ultimă instanță, perspectivele de succes ale acestuia;</w:t>
      </w:r>
    </w:p>
    <w:p w14:paraId="773C0081" w14:textId="69D4075D" w:rsidR="001A2C3D" w:rsidRPr="00444264" w:rsidRDefault="001A2C3D" w:rsidP="00AF555C">
      <w:pPr>
        <w:widowControl w:val="0"/>
        <w:pBdr>
          <w:top w:val="nil"/>
          <w:left w:val="nil"/>
          <w:bottom w:val="nil"/>
          <w:right w:val="nil"/>
          <w:between w:val="nil"/>
        </w:pBdr>
        <w:spacing w:before="240" w:after="0"/>
        <w:jc w:val="both"/>
        <w:rPr>
          <w:rFonts w:asciiTheme="minorHAnsi" w:hAnsiTheme="minorHAnsi" w:cstheme="minorHAnsi"/>
          <w:sz w:val="22"/>
          <w:szCs w:val="22"/>
          <w:lang w:val="fr-FR"/>
        </w:rPr>
      </w:pPr>
      <w:r w:rsidRPr="00444264">
        <w:rPr>
          <w:rFonts w:asciiTheme="minorHAnsi" w:hAnsiTheme="minorHAnsi" w:cstheme="minorHAnsi"/>
          <w:b/>
          <w:bCs/>
          <w:sz w:val="22"/>
          <w:szCs w:val="22"/>
        </w:rPr>
        <w:t>Titlul de parc industrial</w:t>
      </w:r>
      <w:r w:rsidRPr="00444264">
        <w:rPr>
          <w:rFonts w:asciiTheme="minorHAnsi" w:hAnsiTheme="minorHAnsi" w:cstheme="minorHAnsi"/>
          <w:sz w:val="22"/>
          <w:szCs w:val="22"/>
        </w:rPr>
        <w:t xml:space="preserve"> este actul administrativ emis  de către organul de specialitate al administraţiei publice centrale care conferă platformei industriale, platformei industriale existente ori terenului destinat parcului industrial regimul juridic de parc industrial prevăzut de Legea nr. 186/2013 privind constituirea şi funcţionarea parcurilor industrial, cu modificările și completările ulterioare;</w:t>
      </w:r>
    </w:p>
    <w:p w14:paraId="28ECA1CF" w14:textId="651A8C77" w:rsidR="00760BD7" w:rsidRPr="00444264" w:rsidRDefault="00AF555C" w:rsidP="000A15D1">
      <w:pPr>
        <w:widowControl w:val="0"/>
        <w:pBdr>
          <w:top w:val="nil"/>
          <w:left w:val="nil"/>
          <w:bottom w:val="nil"/>
          <w:right w:val="nil"/>
          <w:between w:val="nil"/>
        </w:pBdr>
        <w:spacing w:before="240" w:after="0"/>
        <w:jc w:val="both"/>
        <w:rPr>
          <w:rFonts w:asciiTheme="minorHAnsi" w:hAnsiTheme="minorHAnsi" w:cstheme="minorHAnsi"/>
          <w:sz w:val="22"/>
          <w:szCs w:val="22"/>
        </w:rPr>
      </w:pPr>
      <w:r w:rsidRPr="00444264">
        <w:rPr>
          <w:rFonts w:asciiTheme="minorHAnsi" w:hAnsiTheme="minorHAnsi" w:cstheme="minorHAnsi"/>
          <w:b/>
          <w:bCs/>
          <w:sz w:val="22"/>
          <w:szCs w:val="22"/>
        </w:rPr>
        <w:t>Transfer tehnologic</w:t>
      </w:r>
      <w:r w:rsidRPr="00444264">
        <w:rPr>
          <w:rFonts w:asciiTheme="minorHAnsi" w:hAnsiTheme="minorHAnsi" w:cstheme="minorHAnsi"/>
          <w:sz w:val="22"/>
          <w:szCs w:val="22"/>
        </w:rPr>
        <w:t xml:space="preserve"> reprezintă orice activitate care are drept rezultat introducerea pe piață de noi produse (bunuri și servicii) sau de produse (bunuri și servicii) semnificativ îmbunătățite, procese de producție sau de furnizare de servicii, noi sau semnificativ îmbunătățite, toate acestea fiind rezultate în urma implementării rezultatelor cercetării în activitatea economică. Transferul tehnologic la nivel de produs și proces poate fi însoțit de noi metode și modele (de organizare, de marketing, de comercializare etc.) sau metode și modele semnificativ îmbunătățite</w:t>
      </w:r>
      <w:r w:rsidR="000A15D1" w:rsidRPr="00444264">
        <w:rPr>
          <w:rFonts w:asciiTheme="minorHAnsi" w:hAnsiTheme="minorHAnsi" w:cstheme="minorHAnsi"/>
          <w:sz w:val="22"/>
          <w:szCs w:val="22"/>
        </w:rPr>
        <w:t>.</w:t>
      </w:r>
    </w:p>
    <w:sectPr w:rsidR="00760BD7" w:rsidRPr="00444264" w:rsidSect="00675AE2">
      <w:footerReference w:type="default" r:id="rId13"/>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4B6A3" w14:textId="77777777" w:rsidR="00786761" w:rsidRDefault="00786761" w:rsidP="007D26DE">
      <w:pPr>
        <w:spacing w:before="0" w:after="0"/>
      </w:pPr>
      <w:r>
        <w:separator/>
      </w:r>
    </w:p>
  </w:endnote>
  <w:endnote w:type="continuationSeparator" w:id="0">
    <w:p w14:paraId="1742B4A6" w14:textId="77777777" w:rsidR="00786761" w:rsidRDefault="00786761"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noProof/>
      </w:rPr>
    </w:sdtEndPr>
    <w:sdtContent>
      <w:p w14:paraId="33D26C64" w14:textId="2B6145DB" w:rsidR="00AC0CCB" w:rsidRDefault="00705074">
        <w:pPr>
          <w:pStyle w:val="Footer"/>
          <w:jc w:val="center"/>
        </w:pPr>
        <w:r>
          <w:fldChar w:fldCharType="begin"/>
        </w:r>
        <w:r w:rsidR="00AC0CCB">
          <w:instrText xml:space="preserve"> PAGE   \* MERGEFORMAT </w:instrText>
        </w:r>
        <w:r>
          <w:fldChar w:fldCharType="separate"/>
        </w:r>
        <w:r w:rsidR="00FC1128">
          <w:rPr>
            <w:noProof/>
          </w:rPr>
          <w:t>5</w:t>
        </w:r>
        <w:r>
          <w:rPr>
            <w:noProof/>
          </w:rPr>
          <w:fldChar w:fldCharType="end"/>
        </w:r>
      </w:p>
    </w:sdtContent>
  </w:sdt>
  <w:p w14:paraId="2A94F5B2" w14:textId="77777777" w:rsidR="00AC0CCB" w:rsidRDefault="00AC0C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062FF" w14:textId="77777777" w:rsidR="00786761" w:rsidRDefault="00786761" w:rsidP="007D26DE">
      <w:pPr>
        <w:spacing w:before="0" w:after="0"/>
      </w:pPr>
      <w:r>
        <w:separator/>
      </w:r>
    </w:p>
  </w:footnote>
  <w:footnote w:type="continuationSeparator" w:id="0">
    <w:p w14:paraId="1F2B8C29" w14:textId="77777777" w:rsidR="00786761" w:rsidRDefault="00786761" w:rsidP="007D26D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69093162">
    <w:abstractNumId w:val="0"/>
  </w:num>
  <w:num w:numId="2" w16cid:durableId="490102804">
    <w:abstractNumId w:val="0"/>
  </w:num>
  <w:num w:numId="3" w16cid:durableId="2121951332">
    <w:abstractNumId w:val="0"/>
  </w:num>
  <w:num w:numId="4" w16cid:durableId="18716460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75C"/>
    <w:rsid w:val="00026AC2"/>
    <w:rsid w:val="0004584D"/>
    <w:rsid w:val="0005276E"/>
    <w:rsid w:val="0005304D"/>
    <w:rsid w:val="00053FB7"/>
    <w:rsid w:val="00066CEF"/>
    <w:rsid w:val="00084BCD"/>
    <w:rsid w:val="00093968"/>
    <w:rsid w:val="000A15D1"/>
    <w:rsid w:val="000D566C"/>
    <w:rsid w:val="000F25F5"/>
    <w:rsid w:val="00123F22"/>
    <w:rsid w:val="0012472B"/>
    <w:rsid w:val="001273BF"/>
    <w:rsid w:val="00135993"/>
    <w:rsid w:val="00144F90"/>
    <w:rsid w:val="001571E5"/>
    <w:rsid w:val="001761AB"/>
    <w:rsid w:val="001A2C3D"/>
    <w:rsid w:val="001A479E"/>
    <w:rsid w:val="001B7380"/>
    <w:rsid w:val="001D30B9"/>
    <w:rsid w:val="001E5E29"/>
    <w:rsid w:val="001F11BF"/>
    <w:rsid w:val="001F7F69"/>
    <w:rsid w:val="00205FD3"/>
    <w:rsid w:val="0021163E"/>
    <w:rsid w:val="002122AF"/>
    <w:rsid w:val="00212A79"/>
    <w:rsid w:val="00251AFE"/>
    <w:rsid w:val="00260983"/>
    <w:rsid w:val="00261C50"/>
    <w:rsid w:val="002703FB"/>
    <w:rsid w:val="002A15A4"/>
    <w:rsid w:val="002C225F"/>
    <w:rsid w:val="002E04B9"/>
    <w:rsid w:val="002E478A"/>
    <w:rsid w:val="002E55DF"/>
    <w:rsid w:val="002F07D1"/>
    <w:rsid w:val="002F4DC8"/>
    <w:rsid w:val="00304E90"/>
    <w:rsid w:val="0032269B"/>
    <w:rsid w:val="00325CB6"/>
    <w:rsid w:val="00352FC4"/>
    <w:rsid w:val="00355EA8"/>
    <w:rsid w:val="003637EF"/>
    <w:rsid w:val="003A7342"/>
    <w:rsid w:val="003C2748"/>
    <w:rsid w:val="0041482D"/>
    <w:rsid w:val="004150D6"/>
    <w:rsid w:val="00422194"/>
    <w:rsid w:val="00434426"/>
    <w:rsid w:val="004361CB"/>
    <w:rsid w:val="0044223E"/>
    <w:rsid w:val="00444264"/>
    <w:rsid w:val="00453EFA"/>
    <w:rsid w:val="00461F4C"/>
    <w:rsid w:val="004729DE"/>
    <w:rsid w:val="0048158E"/>
    <w:rsid w:val="004A2BAF"/>
    <w:rsid w:val="00501ADF"/>
    <w:rsid w:val="00503EE6"/>
    <w:rsid w:val="00546C2E"/>
    <w:rsid w:val="00564D99"/>
    <w:rsid w:val="00574027"/>
    <w:rsid w:val="00585778"/>
    <w:rsid w:val="00594BD2"/>
    <w:rsid w:val="005970DE"/>
    <w:rsid w:val="00597D51"/>
    <w:rsid w:val="005E3349"/>
    <w:rsid w:val="005F45E8"/>
    <w:rsid w:val="005F5AB4"/>
    <w:rsid w:val="00602B28"/>
    <w:rsid w:val="0061695A"/>
    <w:rsid w:val="00623B42"/>
    <w:rsid w:val="00625C85"/>
    <w:rsid w:val="00652705"/>
    <w:rsid w:val="00652D21"/>
    <w:rsid w:val="00675AE2"/>
    <w:rsid w:val="0068121C"/>
    <w:rsid w:val="00693376"/>
    <w:rsid w:val="006B3552"/>
    <w:rsid w:val="006D4AAD"/>
    <w:rsid w:val="00705074"/>
    <w:rsid w:val="0073742C"/>
    <w:rsid w:val="007429DD"/>
    <w:rsid w:val="00744D2A"/>
    <w:rsid w:val="00753ED9"/>
    <w:rsid w:val="00755A69"/>
    <w:rsid w:val="00755BE2"/>
    <w:rsid w:val="00760BD7"/>
    <w:rsid w:val="00762DED"/>
    <w:rsid w:val="00786761"/>
    <w:rsid w:val="00793B1D"/>
    <w:rsid w:val="00794623"/>
    <w:rsid w:val="007A11E4"/>
    <w:rsid w:val="007A5655"/>
    <w:rsid w:val="007D26DE"/>
    <w:rsid w:val="007D6C8F"/>
    <w:rsid w:val="00820BFD"/>
    <w:rsid w:val="0086073D"/>
    <w:rsid w:val="00880E9E"/>
    <w:rsid w:val="00884E53"/>
    <w:rsid w:val="00895C69"/>
    <w:rsid w:val="008A0002"/>
    <w:rsid w:val="008D605C"/>
    <w:rsid w:val="008F7578"/>
    <w:rsid w:val="00904759"/>
    <w:rsid w:val="00935124"/>
    <w:rsid w:val="00947BB2"/>
    <w:rsid w:val="009636D6"/>
    <w:rsid w:val="0098374F"/>
    <w:rsid w:val="0098638A"/>
    <w:rsid w:val="009968EF"/>
    <w:rsid w:val="009C35EC"/>
    <w:rsid w:val="009D075C"/>
    <w:rsid w:val="009D4F21"/>
    <w:rsid w:val="00A06F23"/>
    <w:rsid w:val="00A14612"/>
    <w:rsid w:val="00A20427"/>
    <w:rsid w:val="00A20E7D"/>
    <w:rsid w:val="00A21998"/>
    <w:rsid w:val="00A30822"/>
    <w:rsid w:val="00A40645"/>
    <w:rsid w:val="00A535A7"/>
    <w:rsid w:val="00A76BD0"/>
    <w:rsid w:val="00AC0CCB"/>
    <w:rsid w:val="00AC3EFD"/>
    <w:rsid w:val="00AD4427"/>
    <w:rsid w:val="00AF555C"/>
    <w:rsid w:val="00AF653D"/>
    <w:rsid w:val="00B01F2F"/>
    <w:rsid w:val="00B40AE9"/>
    <w:rsid w:val="00B42CB8"/>
    <w:rsid w:val="00B515B3"/>
    <w:rsid w:val="00B625CC"/>
    <w:rsid w:val="00B73681"/>
    <w:rsid w:val="00B76126"/>
    <w:rsid w:val="00B94947"/>
    <w:rsid w:val="00BA06AD"/>
    <w:rsid w:val="00BA75F3"/>
    <w:rsid w:val="00BE094C"/>
    <w:rsid w:val="00C04166"/>
    <w:rsid w:val="00C210F2"/>
    <w:rsid w:val="00C41184"/>
    <w:rsid w:val="00C76814"/>
    <w:rsid w:val="00CC2C62"/>
    <w:rsid w:val="00D03B03"/>
    <w:rsid w:val="00D11C05"/>
    <w:rsid w:val="00D16F2C"/>
    <w:rsid w:val="00D20661"/>
    <w:rsid w:val="00D57997"/>
    <w:rsid w:val="00D843D8"/>
    <w:rsid w:val="00D87A5D"/>
    <w:rsid w:val="00D9159A"/>
    <w:rsid w:val="00D92EFB"/>
    <w:rsid w:val="00D93EDC"/>
    <w:rsid w:val="00D97D4F"/>
    <w:rsid w:val="00DA78CD"/>
    <w:rsid w:val="00DB5F7D"/>
    <w:rsid w:val="00DB69FD"/>
    <w:rsid w:val="00DC5669"/>
    <w:rsid w:val="00DD2BF9"/>
    <w:rsid w:val="00E00117"/>
    <w:rsid w:val="00E02093"/>
    <w:rsid w:val="00E04587"/>
    <w:rsid w:val="00E06B81"/>
    <w:rsid w:val="00E10C18"/>
    <w:rsid w:val="00E22C20"/>
    <w:rsid w:val="00E564E4"/>
    <w:rsid w:val="00E92042"/>
    <w:rsid w:val="00ED19A2"/>
    <w:rsid w:val="00ED5D67"/>
    <w:rsid w:val="00ED74D5"/>
    <w:rsid w:val="00EF7774"/>
    <w:rsid w:val="00F068A2"/>
    <w:rsid w:val="00F14184"/>
    <w:rsid w:val="00F31E6E"/>
    <w:rsid w:val="00F460C9"/>
    <w:rsid w:val="00F60FBD"/>
    <w:rsid w:val="00F85E2D"/>
    <w:rsid w:val="00FA2787"/>
    <w:rsid w:val="00FB3831"/>
    <w:rsid w:val="00FC1128"/>
    <w:rsid w:val="00FC7985"/>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E83C0"/>
  <w15:docId w15:val="{B232291C-A751-4AD1-B615-BA3158C3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 w:type="character" w:styleId="Strong">
    <w:name w:val="Strong"/>
    <w:basedOn w:val="DefaultParagraphFont"/>
    <w:uiPriority w:val="22"/>
    <w:qFormat/>
    <w:rsid w:val="000F25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o.wikipedia.org/wiki/Mehedin%C8%9Bi" TargetMode="Externa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601AB-2AA9-4AB9-9B65-67B949062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5</Pages>
  <Words>2052</Words>
  <Characters>11697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Mihaela Tascu</cp:lastModifiedBy>
  <cp:revision>8</cp:revision>
  <cp:lastPrinted>2016-05-25T08:35:00Z</cp:lastPrinted>
  <dcterms:created xsi:type="dcterms:W3CDTF">2023-05-10T09:52:00Z</dcterms:created>
  <dcterms:modified xsi:type="dcterms:W3CDTF">2023-08-02T13:37:00Z</dcterms:modified>
</cp:coreProperties>
</file>