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52771" w14:textId="4FDA05E0" w:rsidR="00AA4C43" w:rsidRPr="00240372" w:rsidRDefault="00205561" w:rsidP="00671A5F">
      <w:pPr>
        <w:shd w:val="clear" w:color="auto" w:fill="FFFFFF"/>
        <w:spacing w:after="0" w:line="240" w:lineRule="auto"/>
        <w:jc w:val="center"/>
        <w:rPr>
          <w:b/>
          <w:noProof/>
          <w:lang w:val="ro-RO"/>
        </w:rPr>
      </w:pPr>
      <w:r w:rsidRPr="00240372">
        <w:rPr>
          <w:b/>
          <w:noProof/>
          <w:lang w:val="ro-RO"/>
        </w:rPr>
        <w:t>Anexa 1</w:t>
      </w:r>
      <w:r w:rsidR="00F6684F">
        <w:rPr>
          <w:b/>
          <w:noProof/>
          <w:lang w:val="ro-RO"/>
        </w:rPr>
        <w:t>a</w:t>
      </w:r>
      <w:r w:rsidRPr="00240372">
        <w:rPr>
          <w:b/>
          <w:noProof/>
          <w:lang w:val="ro-RO"/>
        </w:rPr>
        <w:t xml:space="preserve">. </w:t>
      </w:r>
      <w:r w:rsidR="00D329E9" w:rsidRPr="00240372">
        <w:rPr>
          <w:b/>
          <w:noProof/>
          <w:lang w:val="ro-RO"/>
        </w:rPr>
        <w:t xml:space="preserve">Conformitatea cu </w:t>
      </w:r>
      <w:r w:rsidR="00136FEB" w:rsidRPr="00240372">
        <w:rPr>
          <w:b/>
          <w:noProof/>
          <w:lang w:val="ro-RO"/>
        </w:rPr>
        <w:t>prevederile</w:t>
      </w:r>
      <w:r w:rsidR="00D329E9" w:rsidRPr="00240372">
        <w:rPr>
          <w:b/>
          <w:noProof/>
          <w:lang w:val="ro-RO"/>
        </w:rPr>
        <w:t xml:space="preserve"> </w:t>
      </w:r>
      <w:r w:rsidR="00703EE5" w:rsidRPr="00240372">
        <w:rPr>
          <w:b/>
          <w:noProof/>
          <w:lang w:val="ro-RO"/>
        </w:rPr>
        <w:t xml:space="preserve">legale privind acordarea ajutoarelor de stat </w:t>
      </w:r>
      <w:r w:rsidR="00671A5F" w:rsidRPr="00240372">
        <w:rPr>
          <w:b/>
          <w:noProof/>
          <w:lang w:val="ro-RO"/>
        </w:rPr>
        <w:t xml:space="preserve"> compatibile cu piața internă în aplicarea </w:t>
      </w:r>
      <w:r w:rsidR="00703EE5" w:rsidRPr="00240372">
        <w:rPr>
          <w:b/>
          <w:noProof/>
          <w:lang w:val="ro-RO"/>
        </w:rPr>
        <w:t>prevederilor t</w:t>
      </w:r>
      <w:r w:rsidR="00AA4C43" w:rsidRPr="00240372">
        <w:rPr>
          <w:b/>
          <w:noProof/>
          <w:lang w:val="ro-RO"/>
        </w:rPr>
        <w:t>ratat</w:t>
      </w:r>
      <w:r w:rsidR="00703EE5" w:rsidRPr="00240372">
        <w:rPr>
          <w:b/>
          <w:noProof/>
          <w:lang w:val="ro-RO"/>
        </w:rPr>
        <w:t>ului</w:t>
      </w:r>
    </w:p>
    <w:p w14:paraId="1168CD27" w14:textId="77777777" w:rsidR="00AA4C43" w:rsidRPr="00240372" w:rsidRDefault="00AA4C43" w:rsidP="00AA4C43">
      <w:pPr>
        <w:shd w:val="clear" w:color="auto" w:fill="FFFFFF"/>
        <w:spacing w:after="0" w:line="240" w:lineRule="auto"/>
        <w:jc w:val="center"/>
        <w:rPr>
          <w:b/>
          <w:noProof/>
          <w:lang w:val="ro-RO"/>
        </w:rPr>
      </w:pPr>
    </w:p>
    <w:p w14:paraId="316E8B50" w14:textId="3F9FCC4B" w:rsidR="00B57A33" w:rsidRPr="00240372" w:rsidRDefault="00037EF5" w:rsidP="00D90E91">
      <w:pPr>
        <w:shd w:val="clear" w:color="auto" w:fill="FFFFFF"/>
        <w:spacing w:before="100" w:beforeAutospacing="1" w:after="100" w:afterAutospacing="1" w:line="240" w:lineRule="auto"/>
        <w:jc w:val="both"/>
        <w:rPr>
          <w:b/>
          <w:noProof/>
          <w:u w:val="single"/>
          <w:lang w:val="ro-RO"/>
        </w:rPr>
      </w:pPr>
      <w:r w:rsidRPr="00240372">
        <w:rPr>
          <w:b/>
          <w:noProof/>
          <w:u w:val="single"/>
          <w:lang w:val="ro-RO"/>
        </w:rPr>
        <w:t>1.</w:t>
      </w:r>
      <w:r w:rsidR="00B57A33" w:rsidRPr="00240372">
        <w:rPr>
          <w:b/>
          <w:noProof/>
          <w:u w:val="single"/>
          <w:lang w:val="ro-RO"/>
        </w:rPr>
        <w:t xml:space="preserve"> </w:t>
      </w:r>
      <w:r w:rsidRPr="00240372">
        <w:rPr>
          <w:b/>
          <w:noProof/>
          <w:u w:val="single"/>
          <w:lang w:val="ro-RO"/>
        </w:rPr>
        <w:t>Domeniul de aplicare</w:t>
      </w:r>
      <w:r w:rsidR="00B57A33" w:rsidRPr="00240372">
        <w:rPr>
          <w:b/>
          <w:noProof/>
          <w:u w:val="single"/>
          <w:lang w:val="ro-RO"/>
        </w:rPr>
        <w:t xml:space="preserve"> </w:t>
      </w:r>
    </w:p>
    <w:p w14:paraId="78E34B2F" w14:textId="77777777" w:rsidR="00B57A33" w:rsidRPr="00240372" w:rsidRDefault="00B57A33" w:rsidP="00B57A33">
      <w:pPr>
        <w:shd w:val="clear" w:color="auto" w:fill="FFFFFF"/>
        <w:spacing w:after="0" w:line="240" w:lineRule="auto"/>
        <w:jc w:val="both"/>
        <w:rPr>
          <w:rFonts w:cstheme="minorHAnsi"/>
          <w:b/>
          <w:i/>
          <w:szCs w:val="24"/>
          <w:lang w:val="ro-RO"/>
        </w:rPr>
      </w:pPr>
    </w:p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9648"/>
      </w:tblGrid>
      <w:tr w:rsidR="00240372" w:rsidRPr="00240372" w14:paraId="393D2D42" w14:textId="77777777" w:rsidTr="00D369E7">
        <w:tc>
          <w:tcPr>
            <w:tcW w:w="9648" w:type="dxa"/>
          </w:tcPr>
          <w:p w14:paraId="42C84315" w14:textId="11A92BDB" w:rsidR="00181923" w:rsidRPr="00240372" w:rsidRDefault="00181923" w:rsidP="00687A50">
            <w:pPr>
              <w:spacing w:before="100" w:beforeAutospacing="1" w:after="100" w:afterAutospacing="1"/>
              <w:jc w:val="both"/>
              <w:rPr>
                <w:rFonts w:cstheme="minorHAnsi"/>
                <w:i/>
                <w:szCs w:val="24"/>
                <w:lang w:val="ro-RO"/>
              </w:rPr>
            </w:pPr>
            <w:r w:rsidRPr="00240372">
              <w:rPr>
                <w:rFonts w:cstheme="minorHAnsi"/>
                <w:i/>
                <w:szCs w:val="24"/>
                <w:lang w:val="ro-RO"/>
              </w:rPr>
              <w:t>Solicitantul va completa cu informaţii referitoare la următoarel</w:t>
            </w:r>
            <w:r w:rsidR="00703EE5" w:rsidRPr="00240372">
              <w:rPr>
                <w:rFonts w:cstheme="minorHAnsi"/>
                <w:i/>
                <w:szCs w:val="24"/>
                <w:lang w:val="ro-RO"/>
              </w:rPr>
              <w:t xml:space="preserve">e </w:t>
            </w:r>
            <w:r w:rsidRPr="00240372">
              <w:rPr>
                <w:rFonts w:cstheme="minorHAnsi"/>
                <w:i/>
                <w:szCs w:val="24"/>
                <w:lang w:val="ro-RO"/>
              </w:rPr>
              <w:t>condiţii</w:t>
            </w:r>
            <w:r w:rsidR="00703EE5" w:rsidRPr="00240372">
              <w:rPr>
                <w:rFonts w:cstheme="minorHAnsi"/>
                <w:i/>
                <w:szCs w:val="24"/>
                <w:lang w:val="ro-RO"/>
              </w:rPr>
              <w:t xml:space="preserve"> conform prevederilor cadrului legal în materia acordării ajutoarelor de stat</w:t>
            </w:r>
            <w:r w:rsidRPr="00240372">
              <w:rPr>
                <w:rFonts w:cstheme="minorHAnsi"/>
                <w:i/>
                <w:szCs w:val="24"/>
                <w:lang w:val="ro-RO"/>
              </w:rPr>
              <w:t>:</w:t>
            </w:r>
          </w:p>
          <w:p w14:paraId="178173FD" w14:textId="240D9988" w:rsidR="002A63AE" w:rsidRPr="00240372" w:rsidRDefault="00396211" w:rsidP="002A63AE">
            <w:pPr>
              <w:spacing w:before="100" w:beforeAutospacing="1" w:after="100" w:afterAutospacing="1"/>
              <w:jc w:val="both"/>
              <w:rPr>
                <w:rFonts w:cstheme="minorHAnsi"/>
                <w:i/>
                <w:szCs w:val="24"/>
                <w:lang w:val="ro-RO"/>
              </w:rPr>
            </w:pPr>
            <w:r w:rsidRPr="00240372">
              <w:rPr>
                <w:rFonts w:cstheme="minorHAnsi"/>
                <w:i/>
                <w:szCs w:val="24"/>
                <w:lang w:val="ro-RO"/>
              </w:rPr>
              <w:t>De asemenea, s</w:t>
            </w:r>
            <w:r w:rsidR="002A63AE" w:rsidRPr="00240372">
              <w:rPr>
                <w:rFonts w:cstheme="minorHAnsi"/>
                <w:i/>
                <w:szCs w:val="24"/>
                <w:lang w:val="ro-RO"/>
              </w:rPr>
              <w:t>e va avea în vedere dacă întreprinderea se află în u</w:t>
            </w:r>
            <w:r w:rsidR="00703EE5" w:rsidRPr="00240372">
              <w:rPr>
                <w:rFonts w:cstheme="minorHAnsi"/>
                <w:i/>
                <w:szCs w:val="24"/>
                <w:lang w:val="ro-RO"/>
              </w:rPr>
              <w:t>na</w:t>
            </w:r>
            <w:r w:rsidR="002A63AE" w:rsidRPr="00240372">
              <w:rPr>
                <w:rFonts w:cstheme="minorHAnsi"/>
                <w:i/>
                <w:szCs w:val="24"/>
                <w:lang w:val="ro-RO"/>
              </w:rPr>
              <w:t xml:space="preserve"> din situaţiile </w:t>
            </w:r>
            <w:r w:rsidR="00703EE5" w:rsidRPr="00240372">
              <w:rPr>
                <w:rFonts w:cstheme="minorHAnsi"/>
                <w:i/>
                <w:szCs w:val="24"/>
                <w:lang w:val="ro-RO"/>
              </w:rPr>
              <w:t>care atrag ne</w:t>
            </w:r>
            <w:r w:rsidR="002A63AE" w:rsidRPr="00240372">
              <w:rPr>
                <w:rFonts w:cstheme="minorHAnsi"/>
                <w:i/>
                <w:szCs w:val="24"/>
                <w:lang w:val="ro-RO"/>
              </w:rPr>
              <w:t>eligibil</w:t>
            </w:r>
            <w:r w:rsidR="00703EE5" w:rsidRPr="00240372">
              <w:rPr>
                <w:rFonts w:cstheme="minorHAnsi"/>
                <w:i/>
                <w:szCs w:val="24"/>
                <w:lang w:val="ro-RO"/>
              </w:rPr>
              <w:t xml:space="preserve">itatea </w:t>
            </w:r>
            <w:r w:rsidR="002A63AE" w:rsidRPr="00240372">
              <w:rPr>
                <w:rFonts w:cstheme="minorHAnsi"/>
                <w:i/>
                <w:szCs w:val="24"/>
                <w:lang w:val="ro-RO"/>
              </w:rPr>
              <w:t>pentru finanţare. Prin urmare, solicitantul va declara la cererea de finanţare dacă:</w:t>
            </w:r>
          </w:p>
          <w:p w14:paraId="5C4B7D69" w14:textId="77777777" w:rsidR="002A63AE" w:rsidRPr="00240372" w:rsidRDefault="002A63AE" w:rsidP="002A63AE">
            <w:pPr>
              <w:spacing w:before="100" w:beforeAutospacing="1" w:after="100" w:afterAutospacing="1"/>
              <w:jc w:val="both"/>
              <w:rPr>
                <w:rFonts w:cstheme="minorHAnsi"/>
                <w:i/>
                <w:szCs w:val="24"/>
                <w:lang w:val="ro-RO"/>
              </w:rPr>
            </w:pPr>
            <w:r w:rsidRPr="00240372">
              <w:rPr>
                <w:rFonts w:cstheme="minorHAnsi"/>
                <w:i/>
                <w:szCs w:val="24"/>
                <w:lang w:val="ro-RO"/>
              </w:rPr>
              <w:t xml:space="preserve">- face obiectul unui ordin de recuperare neexecutat în urma unei decizii anterioare a Comisiei prin care un ajutor este declarat ilegal și incompatibil cu piața internă.  </w:t>
            </w:r>
          </w:p>
          <w:p w14:paraId="715F5A95" w14:textId="7222E882" w:rsidR="00062253" w:rsidRDefault="002A63AE" w:rsidP="00062253">
            <w:pPr>
              <w:spacing w:before="100" w:beforeAutospacing="1" w:after="100" w:afterAutospacing="1"/>
              <w:jc w:val="both"/>
              <w:rPr>
                <w:rFonts w:cstheme="minorHAnsi"/>
                <w:i/>
                <w:szCs w:val="24"/>
                <w:lang w:val="ro-RO"/>
              </w:rPr>
            </w:pPr>
            <w:r w:rsidRPr="00240372">
              <w:rPr>
                <w:rFonts w:cstheme="minorHAnsi"/>
                <w:i/>
                <w:szCs w:val="24"/>
                <w:lang w:val="ro-RO"/>
              </w:rPr>
              <w:t xml:space="preserve">- </w:t>
            </w:r>
            <w:r w:rsidR="00270CA3" w:rsidRPr="00240372">
              <w:rPr>
                <w:rFonts w:cstheme="minorHAnsi"/>
                <w:i/>
                <w:szCs w:val="24"/>
                <w:lang w:val="ro-RO"/>
              </w:rPr>
              <w:t xml:space="preserve">este </w:t>
            </w:r>
            <w:r w:rsidR="00FB1D12" w:rsidRPr="00240372">
              <w:rPr>
                <w:rFonts w:cstheme="minorHAnsi"/>
                <w:i/>
                <w:szCs w:val="24"/>
                <w:lang w:val="ro-RO"/>
              </w:rPr>
              <w:t xml:space="preserve">întreprindere </w:t>
            </w:r>
            <w:r w:rsidR="00270CA3" w:rsidRPr="00240372">
              <w:rPr>
                <w:rFonts w:cstheme="minorHAnsi"/>
                <w:i/>
                <w:szCs w:val="24"/>
                <w:lang w:val="ro-RO"/>
              </w:rPr>
              <w:t>aflată în dificultate</w:t>
            </w:r>
            <w:r w:rsidR="0082538B" w:rsidRPr="00240372">
              <w:rPr>
                <w:rFonts w:cstheme="minorHAnsi"/>
                <w:i/>
                <w:szCs w:val="24"/>
                <w:lang w:val="ro-RO"/>
              </w:rPr>
              <w:t xml:space="preserve"> </w:t>
            </w:r>
          </w:p>
          <w:p w14:paraId="2ADE9D16" w14:textId="38A01C02" w:rsidR="00270CA3" w:rsidRPr="00240372" w:rsidRDefault="00396211" w:rsidP="00062253">
            <w:pPr>
              <w:spacing w:before="100" w:beforeAutospacing="1" w:after="100" w:afterAutospacing="1"/>
              <w:jc w:val="both"/>
              <w:rPr>
                <w:i/>
                <w:noProof/>
                <w:u w:val="single"/>
                <w:lang w:val="ro-RO"/>
              </w:rPr>
            </w:pPr>
            <w:proofErr w:type="spellStart"/>
            <w:r w:rsidRPr="00240372">
              <w:rPr>
                <w:rFonts w:cstheme="minorHAnsi"/>
                <w:i/>
                <w:szCs w:val="24"/>
                <w:lang w:val="ro-RO"/>
              </w:rPr>
              <w:t>Informaţiile</w:t>
            </w:r>
            <w:proofErr w:type="spellEnd"/>
            <w:r w:rsidRPr="00240372">
              <w:rPr>
                <w:rFonts w:cstheme="minorHAnsi"/>
                <w:i/>
                <w:szCs w:val="24"/>
                <w:lang w:val="ro-RO"/>
              </w:rPr>
              <w:t xml:space="preserve"> se vor corela</w:t>
            </w:r>
            <w:r w:rsidR="00137F01" w:rsidRPr="00240372">
              <w:rPr>
                <w:rFonts w:cstheme="minorHAnsi"/>
                <w:i/>
                <w:szCs w:val="24"/>
                <w:lang w:val="ro-RO"/>
              </w:rPr>
              <w:t xml:space="preserve"> cu </w:t>
            </w:r>
            <w:r w:rsidR="002A63AE" w:rsidRPr="00240372">
              <w:rPr>
                <w:rFonts w:cstheme="minorHAnsi"/>
                <w:i/>
                <w:szCs w:val="24"/>
                <w:lang w:val="ro-RO"/>
              </w:rPr>
              <w:t>Declaraţia de eligibilitate a solicitantului</w:t>
            </w:r>
            <w:r w:rsidR="007A090F" w:rsidRPr="00240372">
              <w:rPr>
                <w:rFonts w:cstheme="minorHAnsi"/>
                <w:i/>
                <w:szCs w:val="24"/>
                <w:lang w:val="ro-RO"/>
              </w:rPr>
              <w:t xml:space="preserve"> - </w:t>
            </w:r>
            <w:r w:rsidR="002A63AE" w:rsidRPr="00240372">
              <w:rPr>
                <w:rFonts w:cstheme="minorHAnsi"/>
                <w:i/>
                <w:szCs w:val="24"/>
                <w:lang w:val="ro-RO"/>
              </w:rPr>
              <w:t xml:space="preserve">Anexa </w:t>
            </w:r>
            <w:r w:rsidR="00ED62CD">
              <w:rPr>
                <w:rFonts w:cstheme="minorHAnsi"/>
                <w:i/>
                <w:szCs w:val="24"/>
                <w:lang w:val="ro-RO"/>
              </w:rPr>
              <w:t>3</w:t>
            </w:r>
            <w:r w:rsidR="008C726B">
              <w:rPr>
                <w:rFonts w:cstheme="minorHAnsi"/>
                <w:i/>
                <w:szCs w:val="24"/>
                <w:lang w:val="ro-RO"/>
              </w:rPr>
              <w:t>a</w:t>
            </w:r>
            <w:r w:rsidR="002A63AE" w:rsidRPr="00240372">
              <w:rPr>
                <w:rFonts w:cstheme="minorHAnsi"/>
                <w:i/>
                <w:szCs w:val="24"/>
                <w:lang w:val="ro-RO"/>
              </w:rPr>
              <w:t xml:space="preserve"> la Cererea de finanţare, </w:t>
            </w:r>
            <w:r w:rsidR="00423F5E" w:rsidRPr="00240372">
              <w:rPr>
                <w:rFonts w:cstheme="minorHAnsi"/>
                <w:i/>
                <w:szCs w:val="24"/>
                <w:lang w:val="ro-RO"/>
              </w:rPr>
              <w:t>Declaraţia privind conformitatea cu regulile ajutorului de stat</w:t>
            </w:r>
            <w:r w:rsidR="007A090F" w:rsidRPr="00240372">
              <w:rPr>
                <w:rFonts w:cstheme="minorHAnsi"/>
                <w:i/>
                <w:szCs w:val="24"/>
                <w:lang w:val="ro-RO"/>
              </w:rPr>
              <w:t xml:space="preserve"> - Anexa </w:t>
            </w:r>
            <w:r w:rsidR="00ED62CD">
              <w:rPr>
                <w:rFonts w:cstheme="minorHAnsi"/>
                <w:i/>
                <w:szCs w:val="24"/>
                <w:lang w:val="ro-RO"/>
              </w:rPr>
              <w:t>3</w:t>
            </w:r>
            <w:r w:rsidR="008C726B">
              <w:rPr>
                <w:rFonts w:cstheme="minorHAnsi"/>
                <w:i/>
                <w:szCs w:val="24"/>
                <w:lang w:val="ro-RO"/>
              </w:rPr>
              <w:t>c</w:t>
            </w:r>
            <w:r w:rsidR="007A090F" w:rsidRPr="00240372">
              <w:rPr>
                <w:rFonts w:cstheme="minorHAnsi"/>
                <w:i/>
                <w:szCs w:val="24"/>
                <w:lang w:val="ro-RO"/>
              </w:rPr>
              <w:t xml:space="preserve"> la </w:t>
            </w:r>
            <w:r w:rsidR="00BB3836" w:rsidRPr="00240372">
              <w:rPr>
                <w:rFonts w:cstheme="minorHAnsi"/>
                <w:i/>
                <w:szCs w:val="24"/>
                <w:lang w:val="ro-RO"/>
              </w:rPr>
              <w:t xml:space="preserve">Cererea </w:t>
            </w:r>
            <w:r w:rsidR="007A090F" w:rsidRPr="00240372">
              <w:rPr>
                <w:rFonts w:cstheme="minorHAnsi"/>
                <w:i/>
                <w:szCs w:val="24"/>
                <w:lang w:val="ro-RO"/>
              </w:rPr>
              <w:t>de finanțare</w:t>
            </w:r>
            <w:r w:rsidR="00423F5E" w:rsidRPr="00240372">
              <w:rPr>
                <w:rFonts w:cstheme="minorHAnsi"/>
                <w:i/>
                <w:szCs w:val="24"/>
                <w:lang w:val="ro-RO"/>
              </w:rPr>
              <w:t>,</w:t>
            </w:r>
            <w:r w:rsidR="002A7675" w:rsidRPr="00240372">
              <w:rPr>
                <w:rFonts w:cstheme="minorHAnsi"/>
                <w:i/>
                <w:szCs w:val="24"/>
                <w:lang w:val="ro-RO"/>
              </w:rPr>
              <w:t xml:space="preserve"> </w:t>
            </w:r>
            <w:r w:rsidR="00687A50" w:rsidRPr="00240372">
              <w:rPr>
                <w:rFonts w:cstheme="minorHAnsi"/>
                <w:i/>
                <w:szCs w:val="24"/>
                <w:lang w:val="ro-RO"/>
              </w:rPr>
              <w:t>Declaraţia de angajament</w:t>
            </w:r>
            <w:r w:rsidR="007A090F" w:rsidRPr="00240372">
              <w:rPr>
                <w:rFonts w:cstheme="minorHAnsi"/>
                <w:i/>
                <w:szCs w:val="24"/>
                <w:lang w:val="ro-RO"/>
              </w:rPr>
              <w:t xml:space="preserve"> -</w:t>
            </w:r>
            <w:r w:rsidR="00687A50" w:rsidRPr="00240372">
              <w:rPr>
                <w:rFonts w:cstheme="minorHAnsi"/>
                <w:i/>
                <w:szCs w:val="24"/>
                <w:lang w:val="ro-RO"/>
              </w:rPr>
              <w:t xml:space="preserve"> Anexa </w:t>
            </w:r>
            <w:r w:rsidR="00ED62CD">
              <w:rPr>
                <w:rFonts w:cstheme="minorHAnsi"/>
                <w:i/>
                <w:szCs w:val="24"/>
                <w:lang w:val="ro-RO"/>
              </w:rPr>
              <w:t>3</w:t>
            </w:r>
            <w:r w:rsidR="008C726B">
              <w:rPr>
                <w:rFonts w:cstheme="minorHAnsi"/>
                <w:i/>
                <w:szCs w:val="24"/>
                <w:lang w:val="ro-RO"/>
              </w:rPr>
              <w:t>b</w:t>
            </w:r>
            <w:r w:rsidR="00687A50" w:rsidRPr="00240372">
              <w:rPr>
                <w:rFonts w:cstheme="minorHAnsi"/>
                <w:i/>
                <w:szCs w:val="24"/>
                <w:lang w:val="ro-RO"/>
              </w:rPr>
              <w:t xml:space="preserve"> la Cererea de finanţare</w:t>
            </w:r>
            <w:r w:rsidR="007A090F" w:rsidRPr="00240372">
              <w:rPr>
                <w:rFonts w:cstheme="minorHAnsi"/>
                <w:i/>
                <w:szCs w:val="24"/>
                <w:lang w:val="ro-RO"/>
              </w:rPr>
              <w:t>.</w:t>
            </w:r>
          </w:p>
        </w:tc>
      </w:tr>
    </w:tbl>
    <w:p w14:paraId="7AFE15C3" w14:textId="04856945" w:rsidR="00D90E91" w:rsidRPr="00240372" w:rsidRDefault="00D90E91" w:rsidP="00D90E91">
      <w:pPr>
        <w:shd w:val="clear" w:color="auto" w:fill="FFFFFF"/>
        <w:spacing w:before="100" w:beforeAutospacing="1" w:after="100" w:afterAutospacing="1" w:line="240" w:lineRule="auto"/>
        <w:jc w:val="both"/>
        <w:rPr>
          <w:b/>
          <w:noProof/>
          <w:u w:val="single"/>
          <w:lang w:val="ro-RO"/>
        </w:rPr>
      </w:pPr>
      <w:r w:rsidRPr="00240372">
        <w:rPr>
          <w:b/>
          <w:noProof/>
          <w:u w:val="single"/>
          <w:lang w:val="ro-RO"/>
        </w:rPr>
        <w:t>2</w:t>
      </w:r>
      <w:r w:rsidR="00271322" w:rsidRPr="00240372">
        <w:rPr>
          <w:b/>
          <w:noProof/>
          <w:u w:val="single"/>
          <w:lang w:val="ro-RO"/>
        </w:rPr>
        <w:t xml:space="preserve">. </w:t>
      </w:r>
      <w:r w:rsidRPr="00240372">
        <w:rPr>
          <w:b/>
          <w:noProof/>
          <w:u w:val="single"/>
          <w:lang w:val="ro-RO"/>
        </w:rPr>
        <w:t>Demararea lucrărilor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42C74AAA" w14:textId="77777777" w:rsidTr="001C3062">
        <w:tc>
          <w:tcPr>
            <w:tcW w:w="9576" w:type="dxa"/>
          </w:tcPr>
          <w:p w14:paraId="0F4900B7" w14:textId="77777777" w:rsidR="00B37667" w:rsidRPr="00240372" w:rsidRDefault="00B37667" w:rsidP="00B37667">
            <w:pPr>
              <w:jc w:val="both"/>
              <w:rPr>
                <w:rFonts w:ascii="Calibri" w:hAnsi="Calibri"/>
                <w:sz w:val="22"/>
              </w:rPr>
            </w:pPr>
            <w:proofErr w:type="spellStart"/>
            <w:r w:rsidRPr="00240372">
              <w:t>Prin“demararea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lucrărilor</w:t>
            </w:r>
            <w:proofErr w:type="spellEnd"/>
            <w:r w:rsidRPr="00240372">
              <w:t xml:space="preserve">” se </w:t>
            </w:r>
            <w:proofErr w:type="spellStart"/>
            <w:r w:rsidRPr="00240372">
              <w:t>intelege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primul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angajament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ferm</w:t>
            </w:r>
            <w:proofErr w:type="spellEnd"/>
            <w:r w:rsidRPr="00240372">
              <w:t xml:space="preserve"> (de </w:t>
            </w:r>
            <w:proofErr w:type="spellStart"/>
            <w:r w:rsidRPr="00240372">
              <w:t>exemplu</w:t>
            </w:r>
            <w:proofErr w:type="spellEnd"/>
            <w:r w:rsidRPr="00240372">
              <w:t xml:space="preserve">, de a </w:t>
            </w:r>
            <w:proofErr w:type="spellStart"/>
            <w:r w:rsidRPr="00240372">
              <w:t>comanda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echipamente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sau</w:t>
            </w:r>
            <w:proofErr w:type="spellEnd"/>
            <w:r w:rsidRPr="00240372">
              <w:t xml:space="preserve"> de a </w:t>
            </w:r>
            <w:proofErr w:type="spellStart"/>
            <w:r w:rsidRPr="00240372">
              <w:t>începe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construcția</w:t>
            </w:r>
            <w:proofErr w:type="spellEnd"/>
            <w:r w:rsidRPr="00240372">
              <w:t xml:space="preserve">) care face o </w:t>
            </w:r>
            <w:proofErr w:type="spellStart"/>
            <w:r w:rsidRPr="00240372">
              <w:t>investiție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ireversibilă</w:t>
            </w:r>
            <w:proofErr w:type="spellEnd"/>
            <w:r w:rsidRPr="00240372">
              <w:t xml:space="preserve">. </w:t>
            </w:r>
            <w:proofErr w:type="spellStart"/>
            <w:r w:rsidRPr="00240372">
              <w:t>Cumpărarea</w:t>
            </w:r>
            <w:proofErr w:type="spellEnd"/>
            <w:r w:rsidRPr="00240372">
              <w:t xml:space="preserve"> de </w:t>
            </w:r>
            <w:proofErr w:type="spellStart"/>
            <w:r w:rsidRPr="00240372">
              <w:t>terenuri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și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lucrări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pregătitoare</w:t>
            </w:r>
            <w:proofErr w:type="spellEnd"/>
            <w:r w:rsidRPr="00240372">
              <w:t xml:space="preserve">, cum </w:t>
            </w:r>
            <w:proofErr w:type="spellStart"/>
            <w:r w:rsidRPr="00240372">
              <w:t>ar</w:t>
            </w:r>
            <w:proofErr w:type="spellEnd"/>
            <w:r w:rsidRPr="00240372">
              <w:t xml:space="preserve"> fi </w:t>
            </w:r>
            <w:proofErr w:type="spellStart"/>
            <w:r w:rsidRPr="00240372">
              <w:t>obținerea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autorizațiilor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și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efectuarea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studiilor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preliminare</w:t>
            </w:r>
            <w:proofErr w:type="spellEnd"/>
            <w:r w:rsidRPr="00240372">
              <w:t xml:space="preserve"> de </w:t>
            </w:r>
            <w:proofErr w:type="spellStart"/>
            <w:r w:rsidRPr="00240372">
              <w:t>fezabilitate</w:t>
            </w:r>
            <w:proofErr w:type="spellEnd"/>
            <w:r w:rsidRPr="00240372">
              <w:t xml:space="preserve">, nu sunt considerate </w:t>
            </w:r>
            <w:proofErr w:type="spellStart"/>
            <w:r w:rsidRPr="00240372">
              <w:t>demarare</w:t>
            </w:r>
            <w:proofErr w:type="spellEnd"/>
            <w:r w:rsidRPr="00240372">
              <w:t xml:space="preserve"> a </w:t>
            </w:r>
            <w:proofErr w:type="spellStart"/>
            <w:r w:rsidRPr="00240372">
              <w:t>lucrărilor</w:t>
            </w:r>
            <w:proofErr w:type="spellEnd"/>
            <w:r w:rsidRPr="00240372">
              <w:t xml:space="preserve">. </w:t>
            </w:r>
            <w:proofErr w:type="spellStart"/>
            <w:r w:rsidRPr="00240372">
              <w:t>În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cazul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preluărilor</w:t>
            </w:r>
            <w:proofErr w:type="spellEnd"/>
            <w:r w:rsidRPr="00240372">
              <w:t xml:space="preserve"> de </w:t>
            </w:r>
            <w:proofErr w:type="spellStart"/>
            <w:r w:rsidRPr="00240372">
              <w:t>întreprinderi</w:t>
            </w:r>
            <w:proofErr w:type="spellEnd"/>
            <w:r w:rsidRPr="00240372">
              <w:t>, „</w:t>
            </w:r>
            <w:proofErr w:type="spellStart"/>
            <w:r w:rsidRPr="00240372">
              <w:t>demararea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lucrărilor</w:t>
            </w:r>
            <w:proofErr w:type="spellEnd"/>
            <w:r w:rsidRPr="00240372">
              <w:t xml:space="preserve">”, </w:t>
            </w:r>
            <w:proofErr w:type="spellStart"/>
            <w:r w:rsidRPr="00240372">
              <w:t>înseamnă</w:t>
            </w:r>
            <w:proofErr w:type="spellEnd"/>
            <w:r w:rsidRPr="00240372">
              <w:t xml:space="preserve"> data de </w:t>
            </w:r>
            <w:proofErr w:type="spellStart"/>
            <w:r w:rsidRPr="00240372">
              <w:t>achiziționare</w:t>
            </w:r>
            <w:proofErr w:type="spellEnd"/>
            <w:r w:rsidRPr="00240372">
              <w:t xml:space="preserve"> a </w:t>
            </w:r>
            <w:proofErr w:type="spellStart"/>
            <w:r w:rsidRPr="00240372">
              <w:t>activelor</w:t>
            </w:r>
            <w:proofErr w:type="spellEnd"/>
            <w:r w:rsidRPr="00240372">
              <w:t xml:space="preserve"> direct legate de </w:t>
            </w:r>
            <w:proofErr w:type="spellStart"/>
            <w:r w:rsidRPr="00240372">
              <w:t>unitatea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preluată</w:t>
            </w:r>
            <w:proofErr w:type="spellEnd"/>
            <w:r w:rsidRPr="00240372">
              <w:t>.</w:t>
            </w:r>
          </w:p>
          <w:p w14:paraId="1141F981" w14:textId="427059C6" w:rsidR="00E77C31" w:rsidRPr="00240372" w:rsidRDefault="00E77C31" w:rsidP="001C3062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</w:p>
          <w:p w14:paraId="2B0D92D9" w14:textId="62896330" w:rsidR="00D90E91" w:rsidRPr="00240372" w:rsidRDefault="00D90E91" w:rsidP="003A6D6F">
            <w:pPr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Cs w:val="24"/>
                <w:lang w:val="ro-RO" w:eastAsia="ro-RO"/>
              </w:rPr>
            </w:pP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Conform Ghidului solicitantului aferent </w:t>
            </w:r>
            <w:r w:rsidR="00271322"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Măsurii de investiții </w:t>
            </w:r>
            <w:r w:rsidR="009515B1">
              <w:rPr>
                <w:rFonts w:eastAsia="Times New Roman" w:cs="Times New Roman"/>
                <w:szCs w:val="24"/>
                <w:lang w:val="ro-RO" w:eastAsia="ro-RO"/>
              </w:rPr>
              <w:t>2</w:t>
            </w:r>
            <w:r w:rsidR="00271322"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 din cadrul PNRR</w:t>
            </w:r>
            <w:r w:rsidR="00421E8E"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, secţiunea </w:t>
            </w:r>
            <w:r w:rsidR="00421E8E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1.</w:t>
            </w:r>
            <w:r w:rsidR="00B37667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8</w:t>
            </w:r>
            <w:r w:rsidR="00421E8E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Ajutor de stat</w:t>
            </w: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 momentul demarării lucrărilor este declararea eligibilităţii proiectului de către </w:t>
            </w:r>
            <w:r w:rsidR="00271322"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Ministerul Energiei </w:t>
            </w: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>(data primirii adresei de îndeplinire a eligibilităţii proiectului de către beneficiar).</w:t>
            </w:r>
          </w:p>
        </w:tc>
      </w:tr>
      <w:tr w:rsidR="00D90E91" w:rsidRPr="00240372" w14:paraId="5AB7BDD1" w14:textId="77777777" w:rsidTr="001C3062">
        <w:tc>
          <w:tcPr>
            <w:tcW w:w="9576" w:type="dxa"/>
          </w:tcPr>
          <w:p w14:paraId="728823F3" w14:textId="78BDC427" w:rsidR="005B1CB7" w:rsidRPr="00240372" w:rsidRDefault="00D90E91" w:rsidP="005B1CB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Se va demonstra că proi</w:t>
            </w:r>
            <w:r w:rsidR="00E77C31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e</w:t>
            </w: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ctul propus spre finanţare nu şi-a început activitățile înainte de declararea eligibilităţii proiectului de către </w:t>
            </w:r>
            <w:r w:rsidR="00271322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Ministerul Energiei </w:t>
            </w: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(data primirii </w:t>
            </w:r>
            <w:r w:rsidR="001C4190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notificării </w:t>
            </w: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de îndeplinire a eligibilităţii pr</w:t>
            </w:r>
            <w:r w:rsidR="00CE0DB7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oiectului de către beneficiar), </w:t>
            </w: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cu excepția achiziției de terenuri și lucrările pregătitoare, cum ar fi obținerea  avizelor și realizarea studiilor de fezabilitate,  care nu sunt considera</w:t>
            </w:r>
            <w:r w:rsidR="005B1CB7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te drept începere a lucrărilor.</w:t>
            </w:r>
          </w:p>
          <w:p w14:paraId="6BD80EAC" w14:textId="3246CF0D" w:rsidR="00E77C31" w:rsidRPr="00240372" w:rsidRDefault="00E77C31" w:rsidP="006049F7">
            <w:pPr>
              <w:shd w:val="clear" w:color="auto" w:fill="FFFFFF"/>
              <w:spacing w:before="100" w:beforeAutospacing="1" w:after="100" w:afterAutospacing="1"/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Se va avea în vedere corelarea cu informațiile prevăzute în </w:t>
            </w:r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Secţiun</w:t>
            </w:r>
            <w:r w:rsidR="006049F7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ea Activităţi previzionate</w:t>
            </w:r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, din Cererea de </w:t>
            </w:r>
            <w:r w:rsidR="00423F5E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finanţare </w:t>
            </w:r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şi Declaraţia privind conformitatea</w:t>
            </w:r>
            <w:r w:rsidR="005D7543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cu regulile ajutorului de sta</w:t>
            </w:r>
            <w:r w:rsidR="001C4190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t</w:t>
            </w:r>
            <w:r w:rsidR="005D7543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(</w:t>
            </w:r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Anexa </w:t>
            </w:r>
            <w:r w:rsidR="00D05569">
              <w:rPr>
                <w:rFonts w:eastAsia="Times New Roman" w:cs="Times New Roman"/>
                <w:i/>
                <w:szCs w:val="24"/>
                <w:lang w:val="ro-RO" w:eastAsia="ro-RO"/>
              </w:rPr>
              <w:t>3</w:t>
            </w:r>
            <w:r w:rsidR="00E27B83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c</w:t>
            </w:r>
            <w:r w:rsidR="00DB6F54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la Cererea de finanţare</w:t>
            </w:r>
            <w:r w:rsidR="005D7543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)</w:t>
            </w:r>
          </w:p>
        </w:tc>
      </w:tr>
    </w:tbl>
    <w:p w14:paraId="55F9D2F7" w14:textId="1018BA9C" w:rsidR="00A73FDA" w:rsidRDefault="00A73FDA" w:rsidP="00D329E9">
      <w:pPr>
        <w:shd w:val="clear" w:color="auto" w:fill="FFFFFF"/>
        <w:spacing w:after="0" w:line="240" w:lineRule="auto"/>
        <w:jc w:val="both"/>
        <w:rPr>
          <w:b/>
          <w:noProof/>
          <w:u w:val="single"/>
          <w:lang w:val="ro-RO"/>
        </w:rPr>
      </w:pPr>
    </w:p>
    <w:p w14:paraId="1FBBA9AC" w14:textId="77777777" w:rsidR="00ED4B39" w:rsidRPr="00240372" w:rsidRDefault="00ED4B39" w:rsidP="00D329E9">
      <w:pPr>
        <w:shd w:val="clear" w:color="auto" w:fill="FFFFFF"/>
        <w:spacing w:after="0" w:line="240" w:lineRule="auto"/>
        <w:jc w:val="both"/>
        <w:rPr>
          <w:b/>
          <w:noProof/>
          <w:u w:val="single"/>
          <w:lang w:val="ro-RO"/>
        </w:rPr>
      </w:pPr>
    </w:p>
    <w:p w14:paraId="55E200E7" w14:textId="5B169C10" w:rsidR="00B23684" w:rsidRPr="00240372" w:rsidRDefault="00271322" w:rsidP="00B23684">
      <w:pPr>
        <w:shd w:val="clear" w:color="auto" w:fill="FFFFFF"/>
        <w:spacing w:before="100" w:beforeAutospacing="1" w:after="100" w:afterAutospacing="1" w:line="240" w:lineRule="auto"/>
        <w:jc w:val="both"/>
        <w:rPr>
          <w:b/>
          <w:noProof/>
          <w:u w:val="single"/>
          <w:lang w:val="ro-RO"/>
        </w:rPr>
      </w:pPr>
      <w:r w:rsidRPr="00240372">
        <w:rPr>
          <w:b/>
          <w:noProof/>
          <w:u w:val="single"/>
          <w:lang w:val="ro-RO"/>
        </w:rPr>
        <w:lastRenderedPageBreak/>
        <w:t xml:space="preserve">3. </w:t>
      </w:r>
      <w:r w:rsidR="00BA0356" w:rsidRPr="00240372">
        <w:rPr>
          <w:b/>
          <w:noProof/>
          <w:u w:val="single"/>
          <w:lang w:val="ro-RO"/>
        </w:rPr>
        <w:t>Efectul stimulativ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3B7CFEB7" w14:textId="77777777" w:rsidTr="001C3062">
        <w:tc>
          <w:tcPr>
            <w:tcW w:w="9576" w:type="dxa"/>
          </w:tcPr>
          <w:p w14:paraId="17EA4826" w14:textId="21BBCA24" w:rsidR="00E27B83" w:rsidRPr="00240372" w:rsidRDefault="00E27B83" w:rsidP="00B23684">
            <w:pPr>
              <w:widowControl w:val="0"/>
              <w:spacing w:after="1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cs="Times New Roman"/>
                <w:b/>
                <w:bCs/>
                <w:sz w:val="23"/>
                <w:szCs w:val="23"/>
              </w:rPr>
              <w:t>“</w:t>
            </w:r>
            <w:proofErr w:type="spellStart"/>
            <w:r w:rsidRPr="00240372">
              <w:rPr>
                <w:rFonts w:cs="Times New Roman"/>
                <w:b/>
                <w:bCs/>
                <w:sz w:val="23"/>
                <w:szCs w:val="23"/>
              </w:rPr>
              <w:t>Efectul</w:t>
            </w:r>
            <w:proofErr w:type="spellEnd"/>
            <w:r w:rsidRPr="00240372">
              <w:rPr>
                <w:rFonts w:cs="Times New Roman"/>
                <w:b/>
                <w:bCs/>
                <w:sz w:val="23"/>
                <w:szCs w:val="23"/>
              </w:rPr>
              <w:t xml:space="preserve"> </w:t>
            </w:r>
            <w:proofErr w:type="spellStart"/>
            <w:r w:rsidRPr="00240372">
              <w:rPr>
                <w:rFonts w:cs="Times New Roman"/>
                <w:b/>
                <w:bCs/>
                <w:sz w:val="23"/>
                <w:szCs w:val="23"/>
              </w:rPr>
              <w:t>stimulativ</w:t>
            </w:r>
            <w:proofErr w:type="spellEnd"/>
            <w:r w:rsidRPr="00240372">
              <w:rPr>
                <w:rFonts w:cs="Times New Roman"/>
                <w:b/>
                <w:bCs/>
                <w:sz w:val="23"/>
                <w:szCs w:val="23"/>
              </w:rPr>
              <w:t xml:space="preserve">"  </w:t>
            </w:r>
            <w:r w:rsidRPr="00240372">
              <w:rPr>
                <w:rFonts w:eastAsia="Calibri"/>
              </w:rPr>
              <w:t xml:space="preserve">are loc </w:t>
            </w:r>
            <w:proofErr w:type="spellStart"/>
            <w:r w:rsidRPr="00240372">
              <w:rPr>
                <w:rFonts w:eastAsia="Calibri"/>
              </w:rPr>
              <w:t>atunci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când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ajutorul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îl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determin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pe </w:t>
            </w:r>
            <w:proofErr w:type="spellStart"/>
            <w:r w:rsidRPr="00240372">
              <w:rPr>
                <w:rFonts w:eastAsia="Calibri"/>
              </w:rPr>
              <w:t>beneficiar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s</w:t>
            </w:r>
            <w:r w:rsidRPr="00240372">
              <w:rPr>
                <w:rFonts w:eastAsia="Calibri" w:hint="eastAsia"/>
              </w:rPr>
              <w:t>ă</w:t>
            </w:r>
            <w:r w:rsidRPr="00240372">
              <w:rPr>
                <w:rFonts w:eastAsia="Calibri"/>
              </w:rPr>
              <w:t>-și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schimbe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comportamentul</w:t>
            </w:r>
            <w:proofErr w:type="spellEnd"/>
            <w:r w:rsidRPr="00240372">
              <w:rPr>
                <w:rFonts w:eastAsia="Calibri"/>
              </w:rPr>
              <w:t xml:space="preserve">, </w:t>
            </w:r>
            <w:proofErr w:type="spellStart"/>
            <w:r w:rsidRPr="00240372">
              <w:rPr>
                <w:rFonts w:eastAsia="Calibri"/>
              </w:rPr>
              <w:t>s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se </w:t>
            </w:r>
            <w:proofErr w:type="spellStart"/>
            <w:r w:rsidRPr="00240372">
              <w:rPr>
                <w:rFonts w:eastAsia="Calibri"/>
              </w:rPr>
              <w:t>angajeze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într</w:t>
            </w:r>
            <w:proofErr w:type="spellEnd"/>
            <w:r w:rsidRPr="00240372">
              <w:rPr>
                <w:rFonts w:eastAsia="Calibri"/>
              </w:rPr>
              <w:t xml:space="preserve">-o </w:t>
            </w:r>
            <w:proofErr w:type="spellStart"/>
            <w:r w:rsidRPr="00240372">
              <w:rPr>
                <w:rFonts w:eastAsia="Calibri"/>
              </w:rPr>
              <w:t>activitate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economic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suplimentar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sau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într</w:t>
            </w:r>
            <w:proofErr w:type="spellEnd"/>
            <w:r w:rsidRPr="00240372">
              <w:rPr>
                <w:rFonts w:eastAsia="Calibri"/>
              </w:rPr>
              <w:t xml:space="preserve">-o </w:t>
            </w:r>
            <w:proofErr w:type="spellStart"/>
            <w:r w:rsidRPr="00240372">
              <w:rPr>
                <w:rFonts w:eastAsia="Calibri"/>
              </w:rPr>
              <w:t>activitate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economic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mai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ecologic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>, pe care nu le-</w:t>
            </w:r>
            <w:proofErr w:type="spellStart"/>
            <w:r w:rsidRPr="00240372">
              <w:rPr>
                <w:rFonts w:eastAsia="Calibri"/>
              </w:rPr>
              <w:t>ar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desf</w:t>
            </w:r>
            <w:r w:rsidRPr="00240372">
              <w:rPr>
                <w:rFonts w:eastAsia="Calibri" w:hint="eastAsia"/>
              </w:rPr>
              <w:t>ă</w:t>
            </w:r>
            <w:r w:rsidRPr="00240372">
              <w:rPr>
                <w:rFonts w:eastAsia="Calibri"/>
              </w:rPr>
              <w:t>șura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f</w:t>
            </w:r>
            <w:r w:rsidRPr="00240372">
              <w:rPr>
                <w:rFonts w:eastAsia="Calibri" w:hint="eastAsia"/>
              </w:rPr>
              <w:t>ă</w:t>
            </w:r>
            <w:r w:rsidRPr="00240372">
              <w:rPr>
                <w:rFonts w:eastAsia="Calibri"/>
              </w:rPr>
              <w:t>r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ajutor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sau</w:t>
            </w:r>
            <w:proofErr w:type="spellEnd"/>
            <w:r w:rsidRPr="00240372">
              <w:rPr>
                <w:rFonts w:eastAsia="Calibri"/>
              </w:rPr>
              <w:t xml:space="preserve"> le-</w:t>
            </w:r>
            <w:proofErr w:type="spellStart"/>
            <w:r w:rsidRPr="00240372">
              <w:rPr>
                <w:rFonts w:eastAsia="Calibri"/>
              </w:rPr>
              <w:t>ar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desf</w:t>
            </w:r>
            <w:r w:rsidRPr="00240372">
              <w:rPr>
                <w:rFonts w:eastAsia="Calibri" w:hint="eastAsia"/>
              </w:rPr>
              <w:t>ă</w:t>
            </w:r>
            <w:r w:rsidRPr="00240372">
              <w:rPr>
                <w:rFonts w:eastAsia="Calibri"/>
              </w:rPr>
              <w:t>șura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într</w:t>
            </w:r>
            <w:proofErr w:type="spellEnd"/>
            <w:r w:rsidRPr="00240372">
              <w:rPr>
                <w:rFonts w:eastAsia="Calibri"/>
              </w:rPr>
              <w:t xml:space="preserve">-o </w:t>
            </w:r>
            <w:proofErr w:type="spellStart"/>
            <w:r w:rsidRPr="00240372">
              <w:rPr>
                <w:rFonts w:eastAsia="Calibri"/>
              </w:rPr>
              <w:t>manier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restrâns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sau</w:t>
            </w:r>
            <w:proofErr w:type="spellEnd"/>
            <w:r w:rsidRPr="00240372">
              <w:rPr>
                <w:rFonts w:eastAsia="Calibri"/>
              </w:rPr>
              <w:t xml:space="preserve"> </w:t>
            </w:r>
            <w:proofErr w:type="spellStart"/>
            <w:r w:rsidRPr="00240372">
              <w:rPr>
                <w:rFonts w:eastAsia="Calibri"/>
              </w:rPr>
              <w:t>diferit</w:t>
            </w:r>
            <w:r w:rsidRPr="00240372">
              <w:rPr>
                <w:rFonts w:eastAsia="Calibri" w:hint="eastAsia"/>
              </w:rPr>
              <w:t>ă</w:t>
            </w:r>
            <w:proofErr w:type="spellEnd"/>
            <w:r w:rsidRPr="00240372">
              <w:rPr>
                <w:rFonts w:eastAsia="Calibri"/>
              </w:rPr>
              <w:t>.</w:t>
            </w:r>
          </w:p>
          <w:p w14:paraId="5A49907B" w14:textId="4C5FF296" w:rsidR="00B23684" w:rsidRPr="00240372" w:rsidRDefault="00B23684" w:rsidP="00B23684">
            <w:pPr>
              <w:widowControl w:val="0"/>
              <w:spacing w:after="1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Calibri" w:cs="Times New Roman"/>
                <w:i/>
                <w:szCs w:val="24"/>
                <w:lang w:val="ro-RO"/>
              </w:rPr>
              <w:t>Cererea de ajutor conține cel puțin urm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ă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>toarele informații:</w:t>
            </w:r>
          </w:p>
          <w:p w14:paraId="5338B478" w14:textId="77777777" w:rsidR="00B23684" w:rsidRPr="00240372" w:rsidRDefault="00B23684" w:rsidP="00B23684">
            <w:pPr>
              <w:widowControl w:val="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Calibri" w:cs="Times New Roman"/>
                <w:i/>
                <w:szCs w:val="24"/>
                <w:lang w:val="ro-RO"/>
              </w:rPr>
              <w:t xml:space="preserve">(a) denumirea 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î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>ntreprinderii și dimensiunea acesteia;</w:t>
            </w:r>
          </w:p>
          <w:p w14:paraId="41704E1D" w14:textId="77777777" w:rsidR="00B23684" w:rsidRPr="00240372" w:rsidRDefault="00B23684" w:rsidP="00B23684">
            <w:pPr>
              <w:widowControl w:val="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Calibri" w:cs="Times New Roman"/>
                <w:i/>
                <w:szCs w:val="24"/>
                <w:lang w:val="ro-RO"/>
              </w:rPr>
              <w:t xml:space="preserve">(b) descrierea proiectului, inclusiv data 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î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 xml:space="preserve">nceperii și a 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î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>ncheierii acestuia;</w:t>
            </w:r>
          </w:p>
          <w:p w14:paraId="0C71854E" w14:textId="77777777" w:rsidR="00B23684" w:rsidRPr="00240372" w:rsidRDefault="00B23684" w:rsidP="00B23684">
            <w:pPr>
              <w:widowControl w:val="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Calibri" w:cs="Times New Roman"/>
                <w:i/>
                <w:szCs w:val="24"/>
                <w:lang w:val="ro-RO"/>
              </w:rPr>
              <w:t>(c) locul de desf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ă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>șurare a proiectului;</w:t>
            </w:r>
          </w:p>
          <w:p w14:paraId="7A13C1D9" w14:textId="77777777" w:rsidR="00B23684" w:rsidRPr="00240372" w:rsidRDefault="00B23684" w:rsidP="00B23684">
            <w:pPr>
              <w:widowControl w:val="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Calibri" w:cs="Times New Roman"/>
                <w:i/>
                <w:szCs w:val="24"/>
                <w:lang w:val="ro-RO"/>
              </w:rPr>
              <w:t>(d) lista costurilor proiectului;</w:t>
            </w:r>
          </w:p>
          <w:p w14:paraId="63008ABB" w14:textId="77777777" w:rsidR="00B23684" w:rsidRPr="00240372" w:rsidRDefault="00B23684" w:rsidP="00B23684">
            <w:pPr>
              <w:widowControl w:val="0"/>
              <w:spacing w:after="120"/>
              <w:ind w:left="7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Calibri" w:cs="Times New Roman"/>
                <w:i/>
                <w:szCs w:val="24"/>
                <w:lang w:val="ro-RO"/>
              </w:rPr>
              <w:t xml:space="preserve">(e) tipul de ajutor (grant, 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î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>mprumut, garanție, avans rambursabil, injecție de capital sau altele) și valoarea finanț</w:t>
            </w:r>
            <w:r w:rsidRPr="00240372">
              <w:rPr>
                <w:rFonts w:eastAsia="Calibri" w:cs="Times New Roman" w:hint="eastAsia"/>
                <w:i/>
                <w:szCs w:val="24"/>
                <w:lang w:val="ro-RO"/>
              </w:rPr>
              <w:t>ă</w:t>
            </w:r>
            <w:r w:rsidRPr="00240372">
              <w:rPr>
                <w:rFonts w:eastAsia="Calibri" w:cs="Times New Roman"/>
                <w:i/>
                <w:szCs w:val="24"/>
                <w:lang w:val="ro-RO"/>
              </w:rPr>
              <w:t>rii publice necesare pentru proiect.</w:t>
            </w:r>
          </w:p>
          <w:p w14:paraId="26D70D2A" w14:textId="13C651AB" w:rsidR="00421E8E" w:rsidRPr="00240372" w:rsidRDefault="000F6D69" w:rsidP="00421E8E">
            <w:pPr>
              <w:widowControl w:val="0"/>
              <w:spacing w:after="120"/>
              <w:jc w:val="both"/>
              <w:rPr>
                <w:rFonts w:eastAsia="Calibri" w:cs="Times New Roman"/>
                <w:i/>
                <w:szCs w:val="24"/>
                <w:lang w:val="ro-RO"/>
              </w:rPr>
            </w:pP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Conform Ghidului solicitantului aferent </w:t>
            </w:r>
            <w:r w:rsidR="00271322"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Măsurii de investiții </w:t>
            </w:r>
            <w:r w:rsidR="009515B1">
              <w:rPr>
                <w:rFonts w:eastAsia="Times New Roman" w:cs="Times New Roman"/>
                <w:szCs w:val="24"/>
                <w:lang w:val="ro-RO" w:eastAsia="ro-RO"/>
              </w:rPr>
              <w:t>2</w:t>
            </w:r>
            <w:r w:rsidR="00271322"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 din cadrul PNRR</w:t>
            </w: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, secţiunea </w:t>
            </w: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1.</w:t>
            </w:r>
            <w:r w:rsidR="00B91160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8</w:t>
            </w: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Ajutor de stat</w:t>
            </w: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 momentul demarării lucrărilor este declararea eligibilităţii proiectului de către </w:t>
            </w:r>
            <w:r w:rsidR="00271322" w:rsidRPr="00240372">
              <w:rPr>
                <w:rFonts w:eastAsia="Times New Roman" w:cs="Times New Roman"/>
                <w:szCs w:val="24"/>
                <w:lang w:val="ro-RO" w:eastAsia="ro-RO"/>
              </w:rPr>
              <w:t xml:space="preserve">Ministerul Energiei </w:t>
            </w:r>
            <w:r w:rsidRPr="00240372">
              <w:rPr>
                <w:rFonts w:eastAsia="Times New Roman" w:cs="Times New Roman"/>
                <w:szCs w:val="24"/>
                <w:lang w:val="ro-RO" w:eastAsia="ro-RO"/>
              </w:rPr>
              <w:t>(data primirii adresei de îndeplinire a eligibilităţii proiectului de către beneficiar).</w:t>
            </w:r>
          </w:p>
          <w:p w14:paraId="2320C6F2" w14:textId="77777777" w:rsidR="00B23684" w:rsidRPr="00240372" w:rsidRDefault="00ED3466" w:rsidP="00ED3466">
            <w:pPr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Solicitantul justifică efectul stimulativ al ajutorului solicitat şi va </w:t>
            </w:r>
            <w:r w:rsidR="00CE2433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completa cu elementele precizate mai sus la punctele a)-e)</w:t>
            </w:r>
          </w:p>
        </w:tc>
      </w:tr>
      <w:tr w:rsidR="00240372" w:rsidRPr="00240372" w14:paraId="0D73D8B4" w14:textId="77777777" w:rsidTr="001C3062">
        <w:tc>
          <w:tcPr>
            <w:tcW w:w="9576" w:type="dxa"/>
          </w:tcPr>
          <w:p w14:paraId="4544934A" w14:textId="0889A7A4" w:rsidR="003A6D6F" w:rsidRPr="00240372" w:rsidRDefault="00CE2433" w:rsidP="00CE2433">
            <w:pPr>
              <w:jc w:val="both"/>
              <w:rPr>
                <w:rFonts w:eastAsia="Times New Roman" w:cs="Times New Roman"/>
                <w:i/>
                <w:szCs w:val="24"/>
                <w:lang w:val="ro-RO" w:eastAsia="ro-RO"/>
              </w:rPr>
            </w:pP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De asemenea, </w:t>
            </w:r>
            <w:r w:rsidR="006B67DF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conform Ghidului solicitantului, subcapitol 1.</w:t>
            </w:r>
            <w:r w:rsidR="00B91160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8</w:t>
            </w:r>
            <w:r w:rsidR="00D254D7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</w:t>
            </w:r>
            <w:r w:rsidR="006B67DF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Ajutorul de stat solicitanţii de ajutor de stat în cadrul </w:t>
            </w:r>
            <w:r w:rsidR="00271322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Măsurii de investiții </w:t>
            </w:r>
            <w:r w:rsidR="002A0C9A">
              <w:rPr>
                <w:rFonts w:eastAsia="Times New Roman" w:cs="Times New Roman"/>
                <w:i/>
                <w:szCs w:val="24"/>
                <w:lang w:val="ro-RO" w:eastAsia="ro-RO"/>
              </w:rPr>
              <w:t>2</w:t>
            </w:r>
            <w:r w:rsidR="00271322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din cadrul PNRR</w:t>
            </w:r>
            <w:r w:rsidR="006B67DF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 vor explica ce s-ar întâmpla în absența ajutorului, și anume o situație care este descrisă ca fiind scenariul contrafactual</w:t>
            </w:r>
            <w:r w:rsidR="001B13EE"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>.</w:t>
            </w:r>
          </w:p>
          <w:p w14:paraId="72D34B6E" w14:textId="77777777" w:rsidR="006B3E66" w:rsidRPr="00240372" w:rsidRDefault="006B3E66" w:rsidP="006B3E66">
            <w:pPr>
              <w:jc w:val="both"/>
              <w:rPr>
                <w:rFonts w:eastAsia="Times New Roman" w:cs="Times New Roman"/>
                <w:szCs w:val="24"/>
                <w:lang w:val="ro-RO" w:eastAsia="ro-RO"/>
              </w:rPr>
            </w:pPr>
          </w:p>
          <w:p w14:paraId="70732C35" w14:textId="6181F9DE" w:rsidR="004D7CCE" w:rsidRPr="00240372" w:rsidRDefault="00B612FE" w:rsidP="00433C4B">
            <w:pPr>
              <w:jc w:val="both"/>
              <w:rPr>
                <w:rFonts w:eastAsia="Times New Roman" w:cs="Times New Roman"/>
                <w:szCs w:val="24"/>
                <w:lang w:val="ro-RO" w:eastAsia="ro-RO"/>
              </w:rPr>
            </w:pPr>
            <w:r w:rsidRPr="00240372">
              <w:rPr>
                <w:rFonts w:eastAsia="Times New Roman" w:cs="Times New Roman"/>
                <w:i/>
                <w:szCs w:val="24"/>
                <w:lang w:val="ro-RO" w:eastAsia="ro-RO"/>
              </w:rPr>
              <w:t xml:space="preserve">Se va corela cu </w:t>
            </w:r>
            <w:r w:rsidR="004D7CCE" w:rsidRPr="00240372">
              <w:rPr>
                <w:rFonts w:cs="Times New Roman"/>
                <w:i/>
                <w:iCs/>
                <w:szCs w:val="24"/>
                <w:lang w:val="ro-RO"/>
              </w:rPr>
              <w:t xml:space="preserve">Declaraţia privind conformitatea cu regulile ajutorului de stat din Anexa </w:t>
            </w:r>
            <w:r w:rsidR="00D05569">
              <w:rPr>
                <w:rFonts w:cs="Times New Roman"/>
                <w:i/>
                <w:iCs/>
                <w:szCs w:val="24"/>
                <w:lang w:val="ro-RO"/>
              </w:rPr>
              <w:t>3</w:t>
            </w:r>
            <w:r w:rsidR="00B91160" w:rsidRPr="00240372">
              <w:rPr>
                <w:rFonts w:cs="Times New Roman"/>
                <w:i/>
                <w:iCs/>
                <w:szCs w:val="24"/>
                <w:lang w:val="ro-RO"/>
              </w:rPr>
              <w:t>c</w:t>
            </w:r>
            <w:r w:rsidR="004D7CCE" w:rsidRPr="00240372">
              <w:rPr>
                <w:rFonts w:cs="Times New Roman"/>
                <w:i/>
                <w:iCs/>
                <w:szCs w:val="24"/>
                <w:lang w:val="ro-RO"/>
              </w:rPr>
              <w:t>.la Cererea de finanţare</w:t>
            </w:r>
            <w:r w:rsidR="004D7CCE" w:rsidRPr="00240372">
              <w:rPr>
                <w:rFonts w:eastAsiaTheme="minorEastAsia" w:cs="Times New Roman"/>
                <w:i/>
                <w:iCs/>
                <w:szCs w:val="24"/>
                <w:lang w:val="ro-RO"/>
              </w:rPr>
              <w:t xml:space="preserve"> </w:t>
            </w:r>
          </w:p>
        </w:tc>
      </w:tr>
    </w:tbl>
    <w:p w14:paraId="304D3726" w14:textId="77777777" w:rsidR="00D90E91" w:rsidRPr="00240372" w:rsidRDefault="00D90E91" w:rsidP="00B23684">
      <w:pPr>
        <w:shd w:val="clear" w:color="auto" w:fill="FFFFFF"/>
        <w:spacing w:after="0" w:line="240" w:lineRule="auto"/>
        <w:jc w:val="both"/>
        <w:rPr>
          <w:b/>
          <w:noProof/>
          <w:u w:val="single"/>
          <w:lang w:val="ro-RO"/>
        </w:rPr>
      </w:pPr>
    </w:p>
    <w:p w14:paraId="1D498AC4" w14:textId="77777777" w:rsidR="00B23684" w:rsidRPr="00240372" w:rsidRDefault="00B23684" w:rsidP="00B23684">
      <w:pPr>
        <w:shd w:val="clear" w:color="auto" w:fill="FFFFFF"/>
        <w:spacing w:after="0" w:line="240" w:lineRule="auto"/>
        <w:jc w:val="both"/>
        <w:rPr>
          <w:lang w:val="ro-RO"/>
        </w:rPr>
      </w:pPr>
      <w:r w:rsidRPr="00240372">
        <w:rPr>
          <w:rFonts w:cs="Times New Roman"/>
          <w:b/>
          <w:szCs w:val="24"/>
          <w:u w:val="single"/>
          <w:lang w:val="ro-RO"/>
        </w:rPr>
        <w:t>Cumulul</w:t>
      </w:r>
      <w:r w:rsidRPr="00240372">
        <w:rPr>
          <w:lang w:val="ro-RO"/>
        </w:rPr>
        <w:t xml:space="preserve"> </w:t>
      </w:r>
    </w:p>
    <w:p w14:paraId="295D5281" w14:textId="77777777" w:rsidR="00B81C7F" w:rsidRPr="00240372" w:rsidRDefault="00B81C7F" w:rsidP="00B23684">
      <w:pPr>
        <w:shd w:val="clear" w:color="auto" w:fill="FFFFFF"/>
        <w:spacing w:after="0" w:line="240" w:lineRule="auto"/>
        <w:jc w:val="both"/>
        <w:rPr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4531FFFA" w14:textId="77777777" w:rsidTr="00B81C7F">
        <w:tc>
          <w:tcPr>
            <w:tcW w:w="9576" w:type="dxa"/>
          </w:tcPr>
          <w:p w14:paraId="7C32D568" w14:textId="77777777" w:rsidR="00B81C7F" w:rsidRPr="00240372" w:rsidRDefault="001127FF" w:rsidP="001127FF">
            <w:pPr>
              <w:shd w:val="clear" w:color="auto" w:fill="FFFFFF"/>
              <w:spacing w:after="120"/>
              <w:jc w:val="both"/>
              <w:rPr>
                <w:rFonts w:cs="Times New Roman"/>
                <w:i/>
                <w:szCs w:val="24"/>
                <w:lang w:val="ro-RO"/>
              </w:rPr>
            </w:pPr>
            <w:r w:rsidRPr="00240372">
              <w:rPr>
                <w:rFonts w:cs="Times New Roman"/>
                <w:i/>
                <w:szCs w:val="24"/>
                <w:lang w:val="ro-RO"/>
              </w:rPr>
              <w:t>Pentru acelaşi beneficiar şi aceleaşi cheltuieli eligibile, ajutorul acordat nu se poate cumula cu niciun alt ajutor de stat</w:t>
            </w:r>
            <w:r w:rsidR="003A6D6F" w:rsidRPr="00240372">
              <w:rPr>
                <w:rFonts w:cs="Times New Roman"/>
                <w:i/>
                <w:szCs w:val="24"/>
                <w:lang w:val="ro-RO"/>
              </w:rPr>
              <w:t xml:space="preserve"> investițional acordat</w:t>
            </w:r>
            <w:r w:rsidRPr="00240372">
              <w:rPr>
                <w:rFonts w:cs="Times New Roman"/>
                <w:i/>
                <w:szCs w:val="24"/>
                <w:lang w:val="ro-RO"/>
              </w:rPr>
              <w:t>, inclusiv de minimis</w:t>
            </w:r>
            <w:r w:rsidR="00606AD9" w:rsidRPr="00240372">
              <w:rPr>
                <w:rFonts w:cs="Times New Roman"/>
                <w:i/>
                <w:szCs w:val="24"/>
                <w:lang w:val="ro-RO"/>
              </w:rPr>
              <w:t>.</w:t>
            </w:r>
          </w:p>
        </w:tc>
      </w:tr>
      <w:tr w:rsidR="00B81C7F" w:rsidRPr="00240372" w14:paraId="54AF9AFD" w14:textId="77777777" w:rsidTr="00B81C7F">
        <w:tc>
          <w:tcPr>
            <w:tcW w:w="9576" w:type="dxa"/>
          </w:tcPr>
          <w:p w14:paraId="2A35E3C7" w14:textId="2D05E10A" w:rsidR="00280831" w:rsidRPr="00240372" w:rsidRDefault="006B3E66" w:rsidP="00625C36">
            <w:pPr>
              <w:jc w:val="both"/>
              <w:rPr>
                <w:i/>
                <w:lang w:val="fr-FR"/>
              </w:rPr>
            </w:pPr>
            <w:r w:rsidRPr="00240372">
              <w:rPr>
                <w:i/>
                <w:lang w:val="fr-FR"/>
              </w:rPr>
              <w:t xml:space="preserve">Se va </w:t>
            </w:r>
            <w:proofErr w:type="spellStart"/>
            <w:r w:rsidRPr="00240372">
              <w:rPr>
                <w:i/>
                <w:lang w:val="fr-FR"/>
              </w:rPr>
              <w:t>preciza</w:t>
            </w:r>
            <w:proofErr w:type="spellEnd"/>
            <w:r w:rsidRPr="00240372">
              <w:rPr>
                <w:i/>
                <w:lang w:val="fr-FR"/>
              </w:rPr>
              <w:t xml:space="preserve"> </w:t>
            </w:r>
            <w:proofErr w:type="spellStart"/>
            <w:r w:rsidRPr="00240372">
              <w:rPr>
                <w:i/>
                <w:lang w:val="fr-FR"/>
              </w:rPr>
              <w:t>dacă</w:t>
            </w:r>
            <w:proofErr w:type="spellEnd"/>
            <w:r w:rsidRPr="00240372">
              <w:rPr>
                <w:i/>
                <w:lang w:val="fr-FR"/>
              </w:rPr>
              <w:t xml:space="preserve"> </w:t>
            </w:r>
            <w:proofErr w:type="spellStart"/>
            <w:r w:rsidRPr="00240372">
              <w:rPr>
                <w:i/>
                <w:lang w:val="fr-FR"/>
              </w:rPr>
              <w:t>pentru</w:t>
            </w:r>
            <w:proofErr w:type="spellEnd"/>
            <w:r w:rsidRPr="00240372">
              <w:rPr>
                <w:i/>
                <w:lang w:val="fr-FR"/>
              </w:rPr>
              <w:t xml:space="preserve"> </w:t>
            </w:r>
            <w:proofErr w:type="spellStart"/>
            <w:r w:rsidRPr="00240372">
              <w:rPr>
                <w:i/>
                <w:lang w:val="fr-FR"/>
              </w:rPr>
              <w:t>ace</w:t>
            </w:r>
            <w:r w:rsidR="00CB1E2F" w:rsidRPr="00240372">
              <w:rPr>
                <w:i/>
                <w:lang w:val="fr-FR"/>
              </w:rPr>
              <w:t>eaşi</w:t>
            </w:r>
            <w:proofErr w:type="spellEnd"/>
            <w:r w:rsidR="00CB1E2F" w:rsidRPr="00240372">
              <w:rPr>
                <w:i/>
                <w:lang w:val="fr-FR"/>
              </w:rPr>
              <w:t xml:space="preserve"> </w:t>
            </w:r>
            <w:proofErr w:type="spellStart"/>
            <w:r w:rsidRPr="00240372">
              <w:rPr>
                <w:i/>
                <w:lang w:val="fr-FR"/>
              </w:rPr>
              <w:t>investiție</w:t>
            </w:r>
            <w:proofErr w:type="spellEnd"/>
            <w:r w:rsidR="00CB1E2F" w:rsidRPr="00240372">
              <w:rPr>
                <w:i/>
                <w:lang w:val="fr-FR"/>
              </w:rPr>
              <w:t xml:space="preserve"> </w:t>
            </w:r>
            <w:proofErr w:type="spellStart"/>
            <w:r w:rsidR="00CB1E2F" w:rsidRPr="00240372">
              <w:rPr>
                <w:i/>
                <w:lang w:val="fr-FR"/>
              </w:rPr>
              <w:t>solicitantul</w:t>
            </w:r>
            <w:proofErr w:type="spellEnd"/>
            <w:r w:rsidR="00CB1E2F" w:rsidRPr="00240372">
              <w:rPr>
                <w:i/>
                <w:lang w:val="fr-FR"/>
              </w:rPr>
              <w:t xml:space="preserve"> a mai </w:t>
            </w:r>
            <w:proofErr w:type="spellStart"/>
            <w:r w:rsidR="00CB1E2F" w:rsidRPr="00240372">
              <w:rPr>
                <w:i/>
                <w:lang w:val="fr-FR"/>
              </w:rPr>
              <w:t>obţinut</w:t>
            </w:r>
            <w:proofErr w:type="spellEnd"/>
            <w:r w:rsidR="00CB1E2F" w:rsidRPr="00240372">
              <w:rPr>
                <w:i/>
                <w:lang w:val="fr-FR"/>
              </w:rPr>
              <w:t xml:space="preserve"> </w:t>
            </w:r>
            <w:proofErr w:type="spellStart"/>
            <w:r w:rsidR="00CB1E2F" w:rsidRPr="00240372">
              <w:rPr>
                <w:i/>
                <w:lang w:val="fr-FR"/>
              </w:rPr>
              <w:t>ajutor</w:t>
            </w:r>
            <w:proofErr w:type="spellEnd"/>
            <w:r w:rsidR="00CB1E2F" w:rsidRPr="00240372">
              <w:rPr>
                <w:i/>
                <w:lang w:val="fr-FR"/>
              </w:rPr>
              <w:t xml:space="preserve"> de stat/este in </w:t>
            </w:r>
            <w:proofErr w:type="spellStart"/>
            <w:r w:rsidR="003A6D6F" w:rsidRPr="00240372">
              <w:rPr>
                <w:i/>
                <w:lang w:val="fr-FR"/>
              </w:rPr>
              <w:t>curs</w:t>
            </w:r>
            <w:proofErr w:type="spellEnd"/>
            <w:r w:rsidR="003A6D6F" w:rsidRPr="00240372">
              <w:rPr>
                <w:i/>
                <w:lang w:val="fr-FR"/>
              </w:rPr>
              <w:t xml:space="preserve"> de </w:t>
            </w:r>
            <w:proofErr w:type="spellStart"/>
            <w:r w:rsidR="003A6D6F" w:rsidRPr="00240372">
              <w:rPr>
                <w:i/>
                <w:lang w:val="fr-FR"/>
              </w:rPr>
              <w:t>obţinere</w:t>
            </w:r>
            <w:proofErr w:type="spellEnd"/>
            <w:r w:rsidR="003A6D6F" w:rsidRPr="00240372">
              <w:rPr>
                <w:i/>
                <w:lang w:val="fr-FR"/>
              </w:rPr>
              <w:t xml:space="preserve"> </w:t>
            </w:r>
            <w:proofErr w:type="spellStart"/>
            <w:r w:rsidR="003A6D6F" w:rsidRPr="00240372">
              <w:rPr>
                <w:i/>
                <w:lang w:val="fr-FR"/>
              </w:rPr>
              <w:t>ajutor</w:t>
            </w:r>
            <w:proofErr w:type="spellEnd"/>
            <w:r w:rsidR="003A6D6F" w:rsidRPr="00240372">
              <w:rPr>
                <w:i/>
                <w:lang w:val="fr-FR"/>
              </w:rPr>
              <w:t xml:space="preserve"> de stat/minimis.</w:t>
            </w:r>
          </w:p>
          <w:p w14:paraId="7070077B" w14:textId="77777777" w:rsidR="00CB1E2F" w:rsidRPr="00240372" w:rsidRDefault="00CB1E2F" w:rsidP="00625C36">
            <w:pPr>
              <w:jc w:val="both"/>
              <w:rPr>
                <w:i/>
                <w:lang w:val="fr-FR"/>
              </w:rPr>
            </w:pPr>
          </w:p>
          <w:p w14:paraId="14DBF0BF" w14:textId="525B92D0" w:rsidR="00B81C7F" w:rsidRPr="00240372" w:rsidRDefault="00625C36" w:rsidP="003D0725">
            <w:pPr>
              <w:jc w:val="both"/>
              <w:rPr>
                <w:i/>
                <w:lang w:val="ro-RO"/>
              </w:rPr>
            </w:pPr>
            <w:r w:rsidRPr="00240372">
              <w:rPr>
                <w:i/>
                <w:lang w:val="ro-RO"/>
              </w:rPr>
              <w:t xml:space="preserve">Răspunsul se va corela cu Declarația privind conformitatea cu regulile ajutorului de stat, din </w:t>
            </w:r>
            <w:r w:rsidR="00D15FDB" w:rsidRPr="00240372">
              <w:rPr>
                <w:i/>
                <w:lang w:val="ro-RO"/>
              </w:rPr>
              <w:t xml:space="preserve">Anexa </w:t>
            </w:r>
            <w:r w:rsidR="00D05569">
              <w:rPr>
                <w:i/>
                <w:lang w:val="ro-RO"/>
              </w:rPr>
              <w:t>3</w:t>
            </w:r>
            <w:r w:rsidR="00E354BC" w:rsidRPr="00240372">
              <w:rPr>
                <w:i/>
                <w:lang w:val="ro-RO"/>
              </w:rPr>
              <w:t>c</w:t>
            </w:r>
            <w:r w:rsidR="00D15FDB" w:rsidRPr="00240372">
              <w:rPr>
                <w:i/>
                <w:lang w:val="ro-RO"/>
              </w:rPr>
              <w:t>.la Cererea de finanţare</w:t>
            </w:r>
            <w:r w:rsidR="00215756" w:rsidRPr="00240372">
              <w:rPr>
                <w:i/>
                <w:lang w:val="ro-RO"/>
              </w:rPr>
              <w:t xml:space="preserve"> </w:t>
            </w:r>
          </w:p>
        </w:tc>
      </w:tr>
    </w:tbl>
    <w:p w14:paraId="6FD9C050" w14:textId="77777777" w:rsidR="00B81C7F" w:rsidRPr="00240372" w:rsidRDefault="00B81C7F" w:rsidP="00B23684">
      <w:pPr>
        <w:shd w:val="clear" w:color="auto" w:fill="FFFFFF"/>
        <w:spacing w:after="0" w:line="240" w:lineRule="auto"/>
        <w:jc w:val="both"/>
        <w:rPr>
          <w:lang w:val="ro-RO"/>
        </w:rPr>
      </w:pPr>
    </w:p>
    <w:p w14:paraId="0FB3A631" w14:textId="77777777" w:rsidR="00B23684" w:rsidRPr="00240372" w:rsidRDefault="00B23684" w:rsidP="00D329E9">
      <w:pPr>
        <w:shd w:val="clear" w:color="auto" w:fill="FFFFFF"/>
        <w:spacing w:after="0" w:line="240" w:lineRule="auto"/>
        <w:jc w:val="both"/>
        <w:rPr>
          <w:noProof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5A93F26E" w14:textId="77777777" w:rsidTr="00B900A7">
        <w:tc>
          <w:tcPr>
            <w:tcW w:w="9576" w:type="dxa"/>
          </w:tcPr>
          <w:p w14:paraId="7C8377B2" w14:textId="6CD37CA5" w:rsidR="00B900A7" w:rsidRPr="00240372" w:rsidRDefault="003A6D6F" w:rsidP="001C7112">
            <w:pPr>
              <w:tabs>
                <w:tab w:val="left" w:pos="0"/>
              </w:tabs>
              <w:jc w:val="both"/>
              <w:rPr>
                <w:b/>
                <w:noProof/>
                <w:highlight w:val="yellow"/>
                <w:u w:val="single"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t xml:space="preserve">Ajutoarele pentru investiții se acordă numai pentru capacitățile nou instalate </w:t>
            </w:r>
          </w:p>
        </w:tc>
      </w:tr>
      <w:tr w:rsidR="00B900A7" w:rsidRPr="00240372" w14:paraId="7D385FAC" w14:textId="77777777" w:rsidTr="00B900A7">
        <w:tc>
          <w:tcPr>
            <w:tcW w:w="9576" w:type="dxa"/>
          </w:tcPr>
          <w:p w14:paraId="78C84F15" w14:textId="77777777" w:rsidR="00891660" w:rsidRPr="00240372" w:rsidRDefault="00B900A7" w:rsidP="00BA26D2">
            <w:pPr>
              <w:autoSpaceDE w:val="0"/>
              <w:autoSpaceDN w:val="0"/>
              <w:adjustRightInd w:val="0"/>
              <w:jc w:val="both"/>
              <w:rPr>
                <w:i/>
                <w:noProof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t>Se va face dovada î</w:t>
            </w:r>
            <w:r w:rsidR="00071F6C" w:rsidRPr="00240372">
              <w:rPr>
                <w:i/>
                <w:noProof/>
                <w:lang w:val="ro-RO"/>
              </w:rPr>
              <w:t>ndeplinirii acestei condiţii prin descrierea situației existente si a proiectului.</w:t>
            </w:r>
          </w:p>
          <w:p w14:paraId="378ED2C3" w14:textId="131D952C" w:rsidR="00B900A7" w:rsidRPr="00240372" w:rsidRDefault="00071F6C" w:rsidP="00071F6C">
            <w:pPr>
              <w:autoSpaceDE w:val="0"/>
              <w:autoSpaceDN w:val="0"/>
              <w:adjustRightInd w:val="0"/>
              <w:rPr>
                <w:b/>
                <w:noProof/>
                <w:u w:val="single"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t xml:space="preserve">Se va corela cu secțiunea Studiul de fezabilitate din Cererea de finanțare și </w:t>
            </w:r>
            <w:r w:rsidR="00433C4B" w:rsidRPr="00240372">
              <w:rPr>
                <w:i/>
                <w:noProof/>
                <w:lang w:val="ro-RO"/>
              </w:rPr>
              <w:t xml:space="preserve"> cu </w:t>
            </w:r>
            <w:r w:rsidR="00B13EB6" w:rsidRPr="00240372">
              <w:rPr>
                <w:i/>
                <w:noProof/>
                <w:lang w:val="ro-RO"/>
              </w:rPr>
              <w:t>studiul de fezabilitate.</w:t>
            </w:r>
          </w:p>
        </w:tc>
      </w:tr>
    </w:tbl>
    <w:p w14:paraId="76BB4BB5" w14:textId="77777777" w:rsidR="00B900A7" w:rsidRPr="00240372" w:rsidRDefault="00B900A7" w:rsidP="00D329E9">
      <w:pPr>
        <w:tabs>
          <w:tab w:val="left" w:pos="0"/>
        </w:tabs>
        <w:spacing w:after="0" w:line="240" w:lineRule="auto"/>
        <w:jc w:val="both"/>
        <w:rPr>
          <w:b/>
          <w:noProof/>
          <w:u w:val="single"/>
          <w:lang w:val="ro-RO"/>
        </w:rPr>
      </w:pPr>
    </w:p>
    <w:p w14:paraId="600B42ED" w14:textId="77777777" w:rsidR="00B900A7" w:rsidRPr="00240372" w:rsidRDefault="00B900A7" w:rsidP="00445199">
      <w:pPr>
        <w:tabs>
          <w:tab w:val="left" w:pos="0"/>
        </w:tabs>
        <w:spacing w:after="0" w:line="240" w:lineRule="auto"/>
        <w:jc w:val="both"/>
        <w:rPr>
          <w:b/>
          <w:noProof/>
          <w:highlight w:val="yellow"/>
          <w:u w:val="single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1FB708A6" w14:textId="77777777" w:rsidTr="00B900A7">
        <w:tc>
          <w:tcPr>
            <w:tcW w:w="9576" w:type="dxa"/>
          </w:tcPr>
          <w:p w14:paraId="2B13552A" w14:textId="1CD3EEFD" w:rsidR="00B900A7" w:rsidRPr="009A0F78" w:rsidRDefault="003149B4" w:rsidP="00445199">
            <w:pPr>
              <w:tabs>
                <w:tab w:val="left" w:pos="0"/>
              </w:tabs>
              <w:jc w:val="both"/>
              <w:rPr>
                <w:rFonts w:eastAsia="Calibri"/>
                <w:i/>
                <w:iCs/>
                <w:color w:val="000000"/>
              </w:rPr>
            </w:pPr>
            <w:r w:rsidRPr="009A0F78">
              <w:rPr>
                <w:rFonts w:eastAsiaTheme="minorEastAsia" w:cs="Times New Roman"/>
                <w:i/>
                <w:szCs w:val="24"/>
                <w:lang w:val="ro-RO"/>
              </w:rPr>
              <w:t xml:space="preserve">Construirea  noii </w:t>
            </w:r>
            <w:proofErr w:type="spellStart"/>
            <w:r w:rsidRPr="009A0F78">
              <w:rPr>
                <w:rFonts w:eastAsiaTheme="minorEastAsia" w:cs="Times New Roman"/>
                <w:i/>
                <w:szCs w:val="24"/>
                <w:lang w:val="ro-RO"/>
              </w:rPr>
              <w:t>capacităţi</w:t>
            </w:r>
            <w:proofErr w:type="spellEnd"/>
            <w:r w:rsidRPr="009A0F78">
              <w:rPr>
                <w:rFonts w:eastAsiaTheme="minorEastAsia" w:cs="Times New Roman"/>
                <w:i/>
                <w:szCs w:val="24"/>
                <w:lang w:val="ro-RO"/>
              </w:rPr>
              <w:t xml:space="preserve"> în electrolizoare pentru producția de hidrogen verde</w:t>
            </w:r>
            <w:r w:rsidR="00B86A73">
              <w:rPr>
                <w:rFonts w:eastAsiaTheme="minorEastAsia" w:cs="Times New Roman"/>
                <w:i/>
                <w:szCs w:val="24"/>
                <w:lang w:val="ro-RO"/>
              </w:rPr>
              <w:t xml:space="preserve">, inclusiv extinderea de </w:t>
            </w:r>
            <w:proofErr w:type="spellStart"/>
            <w:r w:rsidR="00B86A73">
              <w:rPr>
                <w:rFonts w:eastAsiaTheme="minorEastAsia" w:cs="Times New Roman"/>
                <w:i/>
                <w:szCs w:val="24"/>
                <w:lang w:val="ro-RO"/>
              </w:rPr>
              <w:t>capacit</w:t>
            </w:r>
            <w:r w:rsidR="00E62D55">
              <w:rPr>
                <w:rFonts w:eastAsiaTheme="minorEastAsia" w:cs="Times New Roman"/>
                <w:i/>
                <w:szCs w:val="24"/>
                <w:lang w:val="ro-RO"/>
              </w:rPr>
              <w:t>ă</w:t>
            </w:r>
            <w:r w:rsidR="00B86A73">
              <w:rPr>
                <w:rFonts w:eastAsiaTheme="minorEastAsia" w:cs="Times New Roman"/>
                <w:i/>
                <w:szCs w:val="24"/>
                <w:lang w:val="ro-RO"/>
              </w:rPr>
              <w:t>ti</w:t>
            </w:r>
            <w:proofErr w:type="spellEnd"/>
            <w:r w:rsidR="00B86A73">
              <w:rPr>
                <w:rFonts w:eastAsiaTheme="minorEastAsia" w:cs="Times New Roman"/>
                <w:i/>
                <w:szCs w:val="24"/>
                <w:lang w:val="ro-RO"/>
              </w:rPr>
              <w:t xml:space="preserve"> de producția a hidrogenului</w:t>
            </w:r>
            <w:r w:rsidR="002A0C9A" w:rsidRPr="009A0F78">
              <w:rPr>
                <w:rFonts w:eastAsia="Calibri"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color w:val="000000"/>
              </w:rPr>
              <w:t>contribui</w:t>
            </w:r>
            <w:r w:rsidR="009A0F78">
              <w:rPr>
                <w:rFonts w:eastAsia="Calibri"/>
                <w:color w:val="000000"/>
              </w:rPr>
              <w:t>e</w:t>
            </w:r>
            <w:proofErr w:type="spellEnd"/>
            <w:r w:rsidR="002A0C9A" w:rsidRPr="009A0F78">
              <w:rPr>
                <w:rFonts w:eastAsia="Calibri"/>
                <w:color w:val="000000"/>
              </w:rPr>
              <w:t xml:space="preserve"> la </w:t>
            </w:r>
            <w:proofErr w:type="spellStart"/>
            <w:r w:rsidR="002A0C9A" w:rsidRPr="009A0F78">
              <w:rPr>
                <w:rFonts w:eastAsia="Calibri"/>
                <w:color w:val="000000"/>
              </w:rPr>
              <w:t>atingerea</w:t>
            </w:r>
            <w:proofErr w:type="spellEnd"/>
            <w:r w:rsidR="002A0C9A" w:rsidRPr="009A0F78">
              <w:rPr>
                <w:rFonts w:eastAsia="Calibri"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color w:val="000000"/>
              </w:rPr>
              <w:t>obiectivelor</w:t>
            </w:r>
            <w:proofErr w:type="spellEnd"/>
            <w:r w:rsidR="002A0C9A" w:rsidRPr="009A0F78">
              <w:rPr>
                <w:rFonts w:eastAsia="Calibri"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color w:val="000000"/>
              </w:rPr>
              <w:lastRenderedPageBreak/>
              <w:t>asumate</w:t>
            </w:r>
            <w:proofErr w:type="spellEnd"/>
            <w:r w:rsidR="002A0C9A" w:rsidRPr="009A0F78">
              <w:rPr>
                <w:rFonts w:eastAsia="Calibri"/>
                <w:color w:val="000000"/>
              </w:rPr>
              <w:t xml:space="preserve"> de </w:t>
            </w:r>
            <w:proofErr w:type="spellStart"/>
            <w:r w:rsidR="002A0C9A" w:rsidRPr="009A0F78">
              <w:rPr>
                <w:rFonts w:eastAsia="Calibri"/>
                <w:color w:val="000000"/>
              </w:rPr>
              <w:t>România</w:t>
            </w:r>
            <w:proofErr w:type="spellEnd"/>
            <w:r w:rsidR="002A0C9A" w:rsidRPr="009A0F78">
              <w:rPr>
                <w:rFonts w:eastAsia="Calibri"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color w:val="000000"/>
              </w:rPr>
              <w:t>în</w:t>
            </w:r>
            <w:proofErr w:type="spellEnd"/>
            <w:r w:rsidR="002A0C9A" w:rsidRPr="009A0F78">
              <w:rPr>
                <w:rFonts w:eastAsia="Calibri"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color w:val="000000"/>
              </w:rPr>
              <w:t>cadrul</w:t>
            </w:r>
            <w:proofErr w:type="spellEnd"/>
            <w:r w:rsidR="002A0C9A" w:rsidRPr="009A0F78">
              <w:rPr>
                <w:rFonts w:eastAsia="Calibri"/>
                <w:color w:val="000000"/>
              </w:rPr>
              <w:t xml:space="preserve"> PNRR – Componenta C6. </w:t>
            </w:r>
            <w:proofErr w:type="spellStart"/>
            <w:r w:rsidR="002A0C9A" w:rsidRPr="009A0F78">
              <w:rPr>
                <w:rFonts w:eastAsia="Calibri"/>
                <w:color w:val="000000"/>
              </w:rPr>
              <w:t>Energie</w:t>
            </w:r>
            <w:proofErr w:type="spellEnd"/>
            <w:r w:rsidR="002A0C9A" w:rsidRPr="009A0F78">
              <w:rPr>
                <w:rFonts w:eastAsia="Calibri"/>
                <w:color w:val="000000"/>
              </w:rPr>
              <w:t xml:space="preserve">, </w:t>
            </w:r>
            <w:proofErr w:type="spellStart"/>
            <w:r w:rsidR="002A0C9A" w:rsidRPr="009A0F78">
              <w:rPr>
                <w:rFonts w:eastAsia="Calibri"/>
                <w:color w:val="000000"/>
              </w:rPr>
              <w:t>măsura</w:t>
            </w:r>
            <w:proofErr w:type="spellEnd"/>
            <w:r w:rsidR="002A0C9A" w:rsidRPr="009A0F78">
              <w:rPr>
                <w:rFonts w:eastAsia="Calibri"/>
                <w:color w:val="000000"/>
              </w:rPr>
              <w:t xml:space="preserve"> de </w:t>
            </w:r>
            <w:proofErr w:type="spellStart"/>
            <w:r w:rsidR="002A0C9A" w:rsidRPr="009A0F78">
              <w:rPr>
                <w:rFonts w:eastAsia="Calibri"/>
                <w:color w:val="000000"/>
              </w:rPr>
              <w:t>investiții</w:t>
            </w:r>
            <w:proofErr w:type="spellEnd"/>
            <w:r w:rsidR="002A0C9A" w:rsidRPr="009A0F78">
              <w:rPr>
                <w:rFonts w:eastAsia="Calibri"/>
                <w:color w:val="000000"/>
              </w:rPr>
              <w:t xml:space="preserve"> I.2.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Infrastructura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de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distribuție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a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gazelor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regenerabile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(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utilizarea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gazului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natural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în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combinație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cu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hidrogenul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verde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ca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m</w:t>
            </w:r>
            <w:r w:rsidR="002A0C9A" w:rsidRPr="009A0F78">
              <w:rPr>
                <w:rFonts w:eastAsia="Calibri" w:hint="eastAsia"/>
                <w:i/>
                <w:iCs/>
                <w:color w:val="000000"/>
              </w:rPr>
              <w:t>ă</w:t>
            </w:r>
            <w:r w:rsidR="002A0C9A" w:rsidRPr="009A0F78">
              <w:rPr>
                <w:rFonts w:eastAsia="Calibri"/>
                <w:i/>
                <w:iCs/>
                <w:color w:val="000000"/>
              </w:rPr>
              <w:t>sur</w:t>
            </w:r>
            <w:r w:rsidR="002A0C9A" w:rsidRPr="009A0F78">
              <w:rPr>
                <w:rFonts w:eastAsia="Calibri" w:hint="eastAsia"/>
                <w:i/>
                <w:iCs/>
                <w:color w:val="000000"/>
              </w:rPr>
              <w:t>ă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de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tranziție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), precum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și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capacit</w:t>
            </w:r>
            <w:r w:rsidR="002A0C9A" w:rsidRPr="009A0F78">
              <w:rPr>
                <w:rFonts w:eastAsia="Calibri" w:hint="eastAsia"/>
                <w:i/>
                <w:iCs/>
                <w:color w:val="000000"/>
              </w:rPr>
              <w:t>ă</w:t>
            </w:r>
            <w:r w:rsidR="002A0C9A" w:rsidRPr="009A0F78">
              <w:rPr>
                <w:rFonts w:eastAsia="Calibri"/>
                <w:i/>
                <w:iCs/>
                <w:color w:val="000000"/>
              </w:rPr>
              <w:t>țile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de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producție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a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hidrogenului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verde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și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/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sau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utilizarea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acestuia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pentru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stocarea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energiei</w:t>
            </w:r>
            <w:proofErr w:type="spellEnd"/>
            <w:r w:rsidR="002A0C9A" w:rsidRPr="009A0F78">
              <w:rPr>
                <w:rFonts w:eastAsia="Calibri"/>
                <w:i/>
                <w:iCs/>
                <w:color w:val="000000"/>
              </w:rPr>
              <w:t xml:space="preserve"> </w:t>
            </w:r>
            <w:proofErr w:type="spellStart"/>
            <w:r w:rsidR="002A0C9A" w:rsidRPr="009A0F78">
              <w:rPr>
                <w:rFonts w:eastAsia="Calibri"/>
                <w:i/>
                <w:iCs/>
                <w:color w:val="000000"/>
              </w:rPr>
              <w:t>electrice</w:t>
            </w:r>
            <w:proofErr w:type="spellEnd"/>
            <w:r w:rsidR="009A0F78">
              <w:rPr>
                <w:rFonts w:eastAsia="Calibri"/>
                <w:i/>
                <w:iCs/>
                <w:color w:val="000000"/>
              </w:rPr>
              <w:t xml:space="preserve">, </w:t>
            </w:r>
            <w:proofErr w:type="spellStart"/>
            <w:r w:rsidRPr="009A0F78">
              <w:rPr>
                <w:rFonts w:eastAsia="Calibri"/>
                <w:color w:val="000000"/>
              </w:rPr>
              <w:t>respectiv</w:t>
            </w:r>
            <w:proofErr w:type="spellEnd"/>
            <w:r w:rsidRPr="009A0F78">
              <w:rPr>
                <w:rFonts w:eastAsia="Calibri"/>
                <w:color w:val="000000"/>
              </w:rPr>
              <w:t xml:space="preserve"> la </w:t>
            </w:r>
            <w:proofErr w:type="spellStart"/>
            <w:r w:rsidRPr="009A0F78">
              <w:rPr>
                <w:rFonts w:eastAsia="Calibri"/>
                <w:color w:val="000000"/>
              </w:rPr>
              <w:t>realizarea</w:t>
            </w:r>
            <w:proofErr w:type="spellEnd"/>
            <w:r w:rsidRPr="009A0F78">
              <w:rPr>
                <w:rFonts w:eastAsia="Calibri"/>
                <w:color w:val="000000"/>
              </w:rPr>
              <w:t xml:space="preserve"> </w:t>
            </w:r>
            <w:r w:rsidRPr="009A0F78">
              <w:rPr>
                <w:rFonts w:eastAsiaTheme="minorEastAsia" w:cs="Times New Roman"/>
                <w:szCs w:val="24"/>
                <w:lang w:val="ro-RO"/>
              </w:rPr>
              <w:t xml:space="preserve">capacitatii de minimum 100 MW </w:t>
            </w:r>
            <w:r w:rsidR="00746ED5">
              <w:rPr>
                <w:rFonts w:eastAsiaTheme="minorEastAsia" w:cs="Times New Roman"/>
                <w:szCs w:val="24"/>
                <w:lang w:val="ro-RO"/>
              </w:rPr>
              <w:t>î</w:t>
            </w:r>
            <w:r w:rsidRPr="009A0F78">
              <w:rPr>
                <w:rFonts w:eastAsiaTheme="minorEastAsia" w:cs="Times New Roman"/>
                <w:szCs w:val="24"/>
                <w:lang w:val="ro-RO"/>
              </w:rPr>
              <w:t>n electrolizoare, cu un volum generat estimat de cel puțin 10.000 de tone de hidrogen regenerabil, pân</w:t>
            </w:r>
            <w:r w:rsidRPr="009A0F78">
              <w:rPr>
                <w:rFonts w:eastAsiaTheme="minorEastAsia" w:cs="Times New Roman" w:hint="eastAsia"/>
                <w:szCs w:val="24"/>
                <w:lang w:val="ro-RO"/>
              </w:rPr>
              <w:t>ă</w:t>
            </w:r>
            <w:r w:rsidRPr="009A0F78">
              <w:rPr>
                <w:rFonts w:eastAsiaTheme="minorEastAsia" w:cs="Times New Roman"/>
                <w:szCs w:val="24"/>
                <w:lang w:val="ro-RO"/>
              </w:rPr>
              <w:t xml:space="preserve"> în 31 decembrie 2025</w:t>
            </w:r>
            <w:r w:rsidR="009A0F78" w:rsidRPr="009A0F78">
              <w:rPr>
                <w:rFonts w:eastAsiaTheme="minorEastAsia" w:cs="Times New Roman"/>
                <w:szCs w:val="24"/>
                <w:lang w:val="ro-RO"/>
              </w:rPr>
              <w:t>.</w:t>
            </w:r>
          </w:p>
        </w:tc>
      </w:tr>
      <w:tr w:rsidR="00B900A7" w:rsidRPr="00240372" w14:paraId="144188FC" w14:textId="77777777" w:rsidTr="00B900A7">
        <w:tc>
          <w:tcPr>
            <w:tcW w:w="9576" w:type="dxa"/>
          </w:tcPr>
          <w:p w14:paraId="4BD37A5B" w14:textId="77777777" w:rsidR="00071F6C" w:rsidRPr="00240372" w:rsidRDefault="00B900A7" w:rsidP="00071F6C">
            <w:pPr>
              <w:widowControl w:val="0"/>
              <w:spacing w:after="160" w:line="259" w:lineRule="auto"/>
              <w:jc w:val="both"/>
              <w:rPr>
                <w:i/>
                <w:noProof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lastRenderedPageBreak/>
              <w:t xml:space="preserve">Se </w:t>
            </w:r>
            <w:r w:rsidR="00071F6C" w:rsidRPr="00240372">
              <w:rPr>
                <w:i/>
                <w:noProof/>
                <w:lang w:val="ro-RO"/>
              </w:rPr>
              <w:t>va face dovada că proiectul propus spre finanțare are ca scop asigurarea de economii gloale de energie primară în comparație cu producerea separată de energie.</w:t>
            </w:r>
          </w:p>
          <w:p w14:paraId="0B09DBCA" w14:textId="70F06437" w:rsidR="00B900A7" w:rsidRPr="00240372" w:rsidRDefault="00071F6C" w:rsidP="00071F6C">
            <w:pPr>
              <w:widowControl w:val="0"/>
              <w:spacing w:after="160" w:line="259" w:lineRule="auto"/>
              <w:jc w:val="both"/>
              <w:rPr>
                <w:rFonts w:cs="Times New Roman"/>
                <w:szCs w:val="24"/>
                <w:lang w:val="ro-RO"/>
              </w:rPr>
            </w:pPr>
            <w:r w:rsidRPr="00240372">
              <w:rPr>
                <w:rFonts w:cs="Times New Roman"/>
                <w:i/>
                <w:iCs/>
                <w:szCs w:val="24"/>
                <w:lang w:val="ro-RO"/>
              </w:rPr>
              <w:t xml:space="preserve">Se va corela cu secțiunea Studiul de fezabilitate din Cererea de finanțare și </w:t>
            </w:r>
            <w:r w:rsidR="00433C4B" w:rsidRPr="00240372">
              <w:rPr>
                <w:rFonts w:cs="Times New Roman"/>
                <w:i/>
                <w:iCs/>
                <w:szCs w:val="24"/>
                <w:lang w:val="ro-RO"/>
              </w:rPr>
              <w:t xml:space="preserve"> cu </w:t>
            </w:r>
            <w:r w:rsidR="00B13EB6" w:rsidRPr="00240372">
              <w:rPr>
                <w:rFonts w:cs="Times New Roman"/>
                <w:i/>
                <w:iCs/>
                <w:szCs w:val="24"/>
                <w:lang w:val="ro-RO"/>
              </w:rPr>
              <w:t>studiul de fezabilitate.</w:t>
            </w:r>
          </w:p>
        </w:tc>
      </w:tr>
    </w:tbl>
    <w:p w14:paraId="3130F2A8" w14:textId="77777777" w:rsidR="00A7533E" w:rsidRPr="00240372" w:rsidRDefault="00A7533E" w:rsidP="00D329E9">
      <w:pPr>
        <w:shd w:val="clear" w:color="auto" w:fill="FFFFFF"/>
        <w:spacing w:after="0" w:line="240" w:lineRule="auto"/>
        <w:jc w:val="both"/>
        <w:rPr>
          <w:noProof/>
          <w:lang w:val="ro-RO"/>
        </w:rPr>
      </w:pPr>
    </w:p>
    <w:p w14:paraId="696575F0" w14:textId="77777777" w:rsidR="00824C5B" w:rsidRPr="00240372" w:rsidRDefault="00824C5B" w:rsidP="00D329E9">
      <w:pPr>
        <w:shd w:val="clear" w:color="auto" w:fill="FFFFFF"/>
        <w:spacing w:after="0" w:line="240" w:lineRule="auto"/>
        <w:jc w:val="both"/>
        <w:rPr>
          <w:b/>
          <w:noProof/>
          <w:highlight w:val="yellow"/>
          <w:u w:val="single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2F523746" w14:textId="77777777" w:rsidTr="00824C5B">
        <w:tc>
          <w:tcPr>
            <w:tcW w:w="9576" w:type="dxa"/>
          </w:tcPr>
          <w:p w14:paraId="28FA33DD" w14:textId="77777777" w:rsidR="00B86A73" w:rsidRDefault="00B86A73" w:rsidP="00B86A73">
            <w:pPr>
              <w:spacing w:after="326" w:line="264" w:lineRule="auto"/>
              <w:ind w:left="10" w:right="82" w:hanging="10"/>
              <w:jc w:val="both"/>
            </w:pPr>
            <w:r>
              <w:t xml:space="preserve">(1) </w:t>
            </w:r>
            <w:proofErr w:type="spellStart"/>
            <w:r w:rsidRPr="0038677E">
              <w:t>Costurile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eligibile</w:t>
            </w:r>
            <w:proofErr w:type="spellEnd"/>
            <w:r w:rsidRPr="0038677E">
              <w:t xml:space="preserve"> sunt </w:t>
            </w:r>
            <w:proofErr w:type="spellStart"/>
            <w:r w:rsidRPr="0038677E">
              <w:t>costurile</w:t>
            </w:r>
            <w:proofErr w:type="spellEnd"/>
            <w:r w:rsidRPr="0038677E">
              <w:t xml:space="preserve"> de </w:t>
            </w:r>
            <w:proofErr w:type="spellStart"/>
            <w:r w:rsidRPr="0038677E">
              <w:t>investiţii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pentru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construirea</w:t>
            </w:r>
            <w:proofErr w:type="spellEnd"/>
            <w:r w:rsidRPr="0038677E">
              <w:t xml:space="preserve"> de </w:t>
            </w:r>
            <w:proofErr w:type="spellStart"/>
            <w:r w:rsidRPr="0038677E">
              <w:t>noi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capacităţi</w:t>
            </w:r>
            <w:proofErr w:type="spellEnd"/>
            <w:r w:rsidRPr="0038677E">
              <w:t xml:space="preserve"> </w:t>
            </w:r>
            <w:r>
              <w:t xml:space="preserve">de </w:t>
            </w:r>
            <w:proofErr w:type="spellStart"/>
            <w:r>
              <w:t>producție</w:t>
            </w:r>
            <w:proofErr w:type="spellEnd"/>
            <w:r>
              <w:t xml:space="preserve"> a </w:t>
            </w:r>
            <w:proofErr w:type="spellStart"/>
            <w:r>
              <w:t>hidrogenului</w:t>
            </w:r>
            <w:proofErr w:type="spellEnd"/>
            <w:r>
              <w:t xml:space="preserve"> </w:t>
            </w:r>
            <w:proofErr w:type="spellStart"/>
            <w:r>
              <w:t>verde</w:t>
            </w:r>
            <w:proofErr w:type="spellEnd"/>
            <w:r>
              <w:t xml:space="preserve"> </w:t>
            </w:r>
            <w:proofErr w:type="spellStart"/>
            <w:r w:rsidRPr="0038677E">
              <w:t>în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instalații</w:t>
            </w:r>
            <w:proofErr w:type="spellEnd"/>
            <w:r w:rsidRPr="0038677E">
              <w:t xml:space="preserve"> de </w:t>
            </w:r>
            <w:proofErr w:type="spellStart"/>
            <w:r w:rsidRPr="0038677E">
              <w:t>electroliză</w:t>
            </w:r>
            <w:proofErr w:type="spellEnd"/>
            <w:r w:rsidRPr="0038677E">
              <w:t xml:space="preserve">, </w:t>
            </w:r>
            <w:proofErr w:type="spellStart"/>
            <w:r w:rsidRPr="0038677E">
              <w:t>inclusiv</w:t>
            </w:r>
            <w:proofErr w:type="spellEnd"/>
            <w:r>
              <w:t xml:space="preserve"> </w:t>
            </w:r>
            <w:proofErr w:type="spellStart"/>
            <w:r w:rsidRPr="0038677E">
              <w:rPr>
                <w:bCs/>
              </w:rPr>
              <w:t>extinderea</w:t>
            </w:r>
            <w:proofErr w:type="spellEnd"/>
            <w:r w:rsidRPr="0038677E">
              <w:rPr>
                <w:bCs/>
              </w:rPr>
              <w:t xml:space="preserve"> de </w:t>
            </w:r>
            <w:proofErr w:type="spellStart"/>
            <w:r w:rsidRPr="0038677E">
              <w:rPr>
                <w:bCs/>
              </w:rPr>
              <w:t>capacități</w:t>
            </w:r>
            <w:proofErr w:type="spellEnd"/>
            <w:r w:rsidRPr="0038677E">
              <w:rPr>
                <w:bCs/>
              </w:rPr>
              <w:t xml:space="preserve"> de </w:t>
            </w:r>
            <w:proofErr w:type="spellStart"/>
            <w:r w:rsidRPr="0038677E">
              <w:rPr>
                <w:bCs/>
              </w:rPr>
              <w:t>producție</w:t>
            </w:r>
            <w:proofErr w:type="spellEnd"/>
            <w:r w:rsidRPr="0038677E">
              <w:rPr>
                <w:bCs/>
              </w:rPr>
              <w:t xml:space="preserve"> a </w:t>
            </w:r>
            <w:proofErr w:type="spellStart"/>
            <w:r w:rsidRPr="0038677E">
              <w:rPr>
                <w:bCs/>
              </w:rPr>
              <w:t>hidrogenului</w:t>
            </w:r>
            <w:proofErr w:type="spellEnd"/>
            <w:r w:rsidRPr="0038677E">
              <w:rPr>
                <w:bCs/>
              </w:rPr>
              <w:t xml:space="preserve"> </w:t>
            </w:r>
            <w:proofErr w:type="spellStart"/>
            <w:r w:rsidRPr="0038677E">
              <w:rPr>
                <w:bCs/>
              </w:rPr>
              <w:t>verde</w:t>
            </w:r>
            <w:proofErr w:type="spellEnd"/>
            <w:r>
              <w:rPr>
                <w:bCs/>
              </w:rPr>
              <w:t>.</w:t>
            </w:r>
            <w:r w:rsidRPr="00240372">
              <w:t xml:space="preserve"> </w:t>
            </w:r>
          </w:p>
          <w:p w14:paraId="37CF55AA" w14:textId="3E4EE491" w:rsidR="00B86A73" w:rsidRPr="0038677E" w:rsidRDefault="00B86A73" w:rsidP="00B86A73">
            <w:pPr>
              <w:spacing w:after="326" w:line="264" w:lineRule="auto"/>
              <w:ind w:left="10" w:right="82" w:hanging="10"/>
              <w:jc w:val="both"/>
            </w:pPr>
            <w:r>
              <w:t>(</w:t>
            </w:r>
            <w:r w:rsidRPr="0038677E">
              <w:t xml:space="preserve">2) </w:t>
            </w:r>
            <w:proofErr w:type="spellStart"/>
            <w:r w:rsidRPr="0038677E">
              <w:t>Costul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eligibil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este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costul</w:t>
            </w:r>
            <w:proofErr w:type="spellEnd"/>
            <w:r w:rsidRPr="0038677E">
              <w:t xml:space="preserve"> net </w:t>
            </w:r>
            <w:proofErr w:type="spellStart"/>
            <w:r w:rsidRPr="0038677E">
              <w:t>suplimentar</w:t>
            </w:r>
            <w:proofErr w:type="spellEnd"/>
            <w:r w:rsidRPr="0038677E">
              <w:t xml:space="preserve"> care </w:t>
            </w:r>
            <w:proofErr w:type="spellStart"/>
            <w:r w:rsidRPr="0038677E">
              <w:t>trebuie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determinat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comparând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profitabilitatea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scenariului</w:t>
            </w:r>
            <w:proofErr w:type="spellEnd"/>
            <w:r w:rsidRPr="0038677E">
              <w:t xml:space="preserve"> factual cu </w:t>
            </w:r>
            <w:proofErr w:type="spellStart"/>
            <w:r w:rsidRPr="0038677E">
              <w:t>cea</w:t>
            </w:r>
            <w:proofErr w:type="spellEnd"/>
            <w:r w:rsidRPr="0038677E">
              <w:t xml:space="preserve"> a </w:t>
            </w:r>
            <w:proofErr w:type="spellStart"/>
            <w:r w:rsidRPr="0038677E">
              <w:t>scenariului</w:t>
            </w:r>
            <w:proofErr w:type="spellEnd"/>
            <w:r w:rsidRPr="0038677E">
              <w:t xml:space="preserve"> contrafactual </w:t>
            </w:r>
            <w:bookmarkStart w:id="0" w:name="_Hlk95139612"/>
            <w:r w:rsidRPr="0038677E">
              <w:t xml:space="preserve">pe </w:t>
            </w:r>
            <w:proofErr w:type="spellStart"/>
            <w:r w:rsidRPr="0038677E">
              <w:t>durata</w:t>
            </w:r>
            <w:proofErr w:type="spellEnd"/>
            <w:r w:rsidRPr="0038677E">
              <w:t xml:space="preserve"> de </w:t>
            </w:r>
            <w:proofErr w:type="spellStart"/>
            <w:r w:rsidRPr="0038677E">
              <w:t>viață</w:t>
            </w:r>
            <w:proofErr w:type="spellEnd"/>
            <w:r w:rsidRPr="0038677E">
              <w:t xml:space="preserve"> a </w:t>
            </w:r>
            <w:proofErr w:type="spellStart"/>
            <w:r w:rsidRPr="0038677E">
              <w:t>proiectului</w:t>
            </w:r>
            <w:proofErr w:type="spellEnd"/>
            <w:r w:rsidRPr="0038677E">
              <w:t xml:space="preserve"> </w:t>
            </w:r>
            <w:proofErr w:type="spellStart"/>
            <w:r>
              <w:t>î</w:t>
            </w:r>
            <w:r w:rsidRPr="0038677E">
              <w:t>n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conformitate</w:t>
            </w:r>
            <w:proofErr w:type="spellEnd"/>
            <w:r w:rsidRPr="0038677E">
              <w:t xml:space="preserve"> cu </w:t>
            </w:r>
            <w:proofErr w:type="spellStart"/>
            <w:r w:rsidRPr="0038677E">
              <w:t>prevederile</w:t>
            </w:r>
            <w:proofErr w:type="spellEnd"/>
            <w:r w:rsidRPr="0038677E">
              <w:t xml:space="preserve"> </w:t>
            </w:r>
            <w:proofErr w:type="spellStart"/>
            <w:r w:rsidRPr="0038677E">
              <w:t>Comunicării</w:t>
            </w:r>
            <w:proofErr w:type="spellEnd"/>
            <w:r w:rsidRPr="0038677E">
              <w:t xml:space="preserve"> CEEAG 2022.</w:t>
            </w:r>
          </w:p>
          <w:bookmarkEnd w:id="0"/>
          <w:p w14:paraId="746A5BD7" w14:textId="28163CFE" w:rsidR="00824C5B" w:rsidRPr="00240372" w:rsidRDefault="00B86A73" w:rsidP="00B86A73">
            <w:pPr>
              <w:spacing w:after="326" w:line="264" w:lineRule="auto"/>
              <w:ind w:left="10" w:right="82" w:hanging="10"/>
              <w:jc w:val="both"/>
              <w:rPr>
                <w:rFonts w:eastAsia="Times New Roman" w:cs="Times New Roman"/>
                <w:i/>
                <w:szCs w:val="24"/>
                <w:highlight w:val="yellow"/>
                <w:lang w:val="ro-RO"/>
              </w:rPr>
            </w:pPr>
            <w:r w:rsidRPr="00B05B77">
              <w:rPr>
                <w:color w:val="000000"/>
              </w:rPr>
              <w:t xml:space="preserve">(3) </w:t>
            </w:r>
            <w:proofErr w:type="spellStart"/>
            <w:r w:rsidRPr="00B05B77">
              <w:rPr>
                <w:color w:val="000000"/>
              </w:rPr>
              <w:t>Având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în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vedere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prevederile</w:t>
            </w:r>
            <w:proofErr w:type="spellEnd"/>
            <w:r w:rsidRPr="00B05B77">
              <w:rPr>
                <w:color w:val="000000"/>
              </w:rPr>
              <w:t xml:space="preserve"> cap. 3.2.1.2.2 </w:t>
            </w:r>
            <w:proofErr w:type="spellStart"/>
            <w:r w:rsidRPr="00215F8F">
              <w:rPr>
                <w:i/>
                <w:iCs/>
                <w:color w:val="000000"/>
              </w:rPr>
              <w:t>Caracterul</w:t>
            </w:r>
            <w:proofErr w:type="spellEnd"/>
            <w:r w:rsidRPr="00215F8F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215F8F">
              <w:rPr>
                <w:i/>
                <w:iCs/>
                <w:color w:val="000000"/>
              </w:rPr>
              <w:t>adecvat</w:t>
            </w:r>
            <w:proofErr w:type="spellEnd"/>
            <w:r w:rsidRPr="00215F8F">
              <w:rPr>
                <w:i/>
                <w:iCs/>
                <w:color w:val="000000"/>
              </w:rPr>
              <w:t xml:space="preserve"> al </w:t>
            </w:r>
            <w:proofErr w:type="spellStart"/>
            <w:r w:rsidRPr="00215F8F">
              <w:rPr>
                <w:i/>
                <w:iCs/>
                <w:color w:val="000000"/>
              </w:rPr>
              <w:t>diferitelor</w:t>
            </w:r>
            <w:proofErr w:type="spellEnd"/>
            <w:r w:rsidRPr="00215F8F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215F8F">
              <w:rPr>
                <w:i/>
                <w:iCs/>
                <w:color w:val="000000"/>
              </w:rPr>
              <w:t>instrumente</w:t>
            </w:r>
            <w:proofErr w:type="spellEnd"/>
            <w:r w:rsidRPr="00215F8F">
              <w:rPr>
                <w:i/>
                <w:iCs/>
                <w:color w:val="000000"/>
              </w:rPr>
              <w:t xml:space="preserve"> de </w:t>
            </w:r>
            <w:proofErr w:type="spellStart"/>
            <w:r w:rsidRPr="00215F8F">
              <w:rPr>
                <w:i/>
                <w:iCs/>
                <w:color w:val="000000"/>
              </w:rPr>
              <w:t>ajutor</w:t>
            </w:r>
            <w:proofErr w:type="spellEnd"/>
            <w:r w:rsidRPr="00215F8F">
              <w:rPr>
                <w:i/>
                <w:iCs/>
                <w:color w:val="000000"/>
              </w:rPr>
              <w:t>, pct. 52 din CEEAG 2022</w:t>
            </w:r>
            <w:r w:rsidRPr="00B05B77">
              <w:rPr>
                <w:color w:val="000000"/>
              </w:rPr>
              <w:t xml:space="preserve"> precum </w:t>
            </w:r>
            <w:proofErr w:type="spellStart"/>
            <w:r w:rsidRPr="00B05B77">
              <w:rPr>
                <w:color w:val="000000"/>
              </w:rPr>
              <w:t>și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caracterul</w:t>
            </w:r>
            <w:proofErr w:type="spellEnd"/>
            <w:r w:rsidRPr="00B05B77">
              <w:rPr>
                <w:color w:val="000000"/>
              </w:rPr>
              <w:t xml:space="preserve"> de </w:t>
            </w:r>
            <w:proofErr w:type="spellStart"/>
            <w:r w:rsidRPr="00B05B77">
              <w:rPr>
                <w:color w:val="000000"/>
              </w:rPr>
              <w:t>noutate</w:t>
            </w:r>
            <w:proofErr w:type="spellEnd"/>
            <w:r w:rsidRPr="00B05B77">
              <w:rPr>
                <w:color w:val="000000"/>
              </w:rPr>
              <w:t xml:space="preserve"> al </w:t>
            </w:r>
            <w:proofErr w:type="spellStart"/>
            <w:r w:rsidRPr="00B05B77">
              <w:rPr>
                <w:color w:val="000000"/>
              </w:rPr>
              <w:t>tipului</w:t>
            </w:r>
            <w:proofErr w:type="spellEnd"/>
            <w:r w:rsidRPr="00B05B77">
              <w:rPr>
                <w:color w:val="000000"/>
              </w:rPr>
              <w:t xml:space="preserve"> de </w:t>
            </w:r>
            <w:proofErr w:type="spellStart"/>
            <w:r w:rsidRPr="00B05B77">
              <w:rPr>
                <w:color w:val="000000"/>
              </w:rPr>
              <w:t>investiție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finanțabilă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în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temeiul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prezentei</w:t>
            </w:r>
            <w:proofErr w:type="spellEnd"/>
            <w:r w:rsidRPr="00B05B77">
              <w:rPr>
                <w:color w:val="000000"/>
              </w:rPr>
              <w:t xml:space="preserve"> scheme de </w:t>
            </w:r>
            <w:proofErr w:type="spellStart"/>
            <w:r w:rsidRPr="00B05B77">
              <w:rPr>
                <w:color w:val="000000"/>
              </w:rPr>
              <w:t>ajutor</w:t>
            </w:r>
            <w:proofErr w:type="spellEnd"/>
            <w:r w:rsidRPr="00B05B77">
              <w:rPr>
                <w:color w:val="000000"/>
              </w:rPr>
              <w:t xml:space="preserve">, </w:t>
            </w:r>
            <w:proofErr w:type="spellStart"/>
            <w:r w:rsidRPr="00B05B77">
              <w:rPr>
                <w:color w:val="000000"/>
              </w:rPr>
              <w:t>costul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suplimentar</w:t>
            </w:r>
            <w:proofErr w:type="spellEnd"/>
            <w:r w:rsidRPr="00B05B77">
              <w:rPr>
                <w:color w:val="000000"/>
              </w:rPr>
              <w:t xml:space="preserve"> net </w:t>
            </w:r>
            <w:proofErr w:type="spellStart"/>
            <w:r w:rsidRPr="00B05B77">
              <w:rPr>
                <w:color w:val="000000"/>
              </w:rPr>
              <w:t>va</w:t>
            </w:r>
            <w:proofErr w:type="spellEnd"/>
            <w:r w:rsidRPr="00B05B77">
              <w:rPr>
                <w:color w:val="000000"/>
              </w:rPr>
              <w:t xml:space="preserve"> fi </w:t>
            </w:r>
            <w:proofErr w:type="spellStart"/>
            <w:r w:rsidRPr="00B05B77">
              <w:rPr>
                <w:color w:val="000000"/>
              </w:rPr>
              <w:t>aproximat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prin</w:t>
            </w:r>
            <w:proofErr w:type="spellEnd"/>
            <w:r w:rsidRPr="00B05B77">
              <w:rPr>
                <w:color w:val="000000"/>
              </w:rPr>
              <w:t xml:space="preserve"> VAN </w:t>
            </w:r>
            <w:proofErr w:type="spellStart"/>
            <w:r w:rsidRPr="00B05B77">
              <w:rPr>
                <w:color w:val="000000"/>
              </w:rPr>
              <w:t>negativă</w:t>
            </w:r>
            <w:proofErr w:type="spellEnd"/>
            <w:r w:rsidRPr="00B05B77">
              <w:rPr>
                <w:color w:val="000000"/>
              </w:rPr>
              <w:t xml:space="preserve"> a </w:t>
            </w:r>
            <w:proofErr w:type="spellStart"/>
            <w:r w:rsidRPr="00B05B77">
              <w:rPr>
                <w:color w:val="000000"/>
              </w:rPr>
              <w:t>proiectului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în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scenariul</w:t>
            </w:r>
            <w:proofErr w:type="spellEnd"/>
            <w:r w:rsidRPr="00B05B77">
              <w:rPr>
                <w:color w:val="000000"/>
              </w:rPr>
              <w:t xml:space="preserve"> contrafactual </w:t>
            </w:r>
            <w:proofErr w:type="spellStart"/>
            <w:r w:rsidRPr="00B05B77">
              <w:rPr>
                <w:color w:val="000000"/>
              </w:rPr>
              <w:t>în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absența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ajutorului</w:t>
            </w:r>
            <w:proofErr w:type="spellEnd"/>
            <w:r w:rsidRPr="00B05B77">
              <w:rPr>
                <w:color w:val="000000"/>
              </w:rPr>
              <w:t xml:space="preserve"> pe </w:t>
            </w:r>
            <w:proofErr w:type="spellStart"/>
            <w:r w:rsidRPr="00B05B77">
              <w:rPr>
                <w:color w:val="000000"/>
              </w:rPr>
              <w:t>durata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proiectului</w:t>
            </w:r>
            <w:proofErr w:type="spellEnd"/>
            <w:r w:rsidRPr="00B05B77">
              <w:rPr>
                <w:color w:val="000000"/>
              </w:rPr>
              <w:t xml:space="preserve"> (VAN = 0 </w:t>
            </w:r>
            <w:proofErr w:type="spellStart"/>
            <w:r w:rsidRPr="00B05B77">
              <w:rPr>
                <w:color w:val="000000"/>
              </w:rPr>
              <w:t>în</w:t>
            </w:r>
            <w:proofErr w:type="spellEnd"/>
            <w:r w:rsidRPr="00B05B77">
              <w:rPr>
                <w:color w:val="000000"/>
              </w:rPr>
              <w:t xml:space="preserve"> </w:t>
            </w:r>
            <w:proofErr w:type="spellStart"/>
            <w:r w:rsidRPr="00B05B77">
              <w:rPr>
                <w:color w:val="000000"/>
              </w:rPr>
              <w:t>scenariul</w:t>
            </w:r>
            <w:proofErr w:type="spellEnd"/>
            <w:r w:rsidRPr="00B05B77">
              <w:rPr>
                <w:color w:val="000000"/>
              </w:rPr>
              <w:t xml:space="preserve"> contrafactual).</w:t>
            </w:r>
          </w:p>
        </w:tc>
      </w:tr>
      <w:tr w:rsidR="00824C5B" w:rsidRPr="00240372" w14:paraId="3116B6A5" w14:textId="77777777" w:rsidTr="00824C5B">
        <w:tc>
          <w:tcPr>
            <w:tcW w:w="9576" w:type="dxa"/>
          </w:tcPr>
          <w:p w14:paraId="001F4F20" w14:textId="50383D57" w:rsidR="006B3E66" w:rsidRPr="00240372" w:rsidRDefault="006B3E66" w:rsidP="006B3E66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i/>
                <w:noProof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t>Se va justifica îndeplinirea uneia dintre condiţiile precizate mai sus şi detaliate în Ghidul solicitantului la secțiunea 1.</w:t>
            </w:r>
            <w:r w:rsidR="00886241" w:rsidRPr="00240372">
              <w:rPr>
                <w:i/>
                <w:noProof/>
                <w:lang w:val="ro-RO"/>
              </w:rPr>
              <w:t>7</w:t>
            </w:r>
            <w:r w:rsidRPr="00240372">
              <w:rPr>
                <w:i/>
                <w:noProof/>
                <w:lang w:val="ro-RO"/>
              </w:rPr>
              <w:t>. Valoarea minimă şi maximă</w:t>
            </w:r>
            <w:r w:rsidR="008C2BC0">
              <w:rPr>
                <w:i/>
                <w:noProof/>
                <w:lang w:val="ro-RO"/>
              </w:rPr>
              <w:t xml:space="preserve"> </w:t>
            </w:r>
            <w:r w:rsidR="001845EA" w:rsidRPr="00240372">
              <w:rPr>
                <w:i/>
                <w:noProof/>
                <w:lang w:val="ro-RO"/>
              </w:rPr>
              <w:t>a finantarii publice</w:t>
            </w:r>
            <w:r w:rsidRPr="00240372">
              <w:rPr>
                <w:i/>
                <w:noProof/>
                <w:lang w:val="ro-RO"/>
              </w:rPr>
              <w:t>, rata de cofinanţare.  Solicitanții de ajutor de stat vor descrie investiția (din scenariul contrafactual</w:t>
            </w:r>
            <w:r w:rsidRPr="00240372">
              <w:t>)</w:t>
            </w:r>
            <w:r w:rsidRPr="00240372">
              <w:rPr>
                <w:i/>
                <w:noProof/>
                <w:lang w:val="ro-RO"/>
              </w:rPr>
              <w:t xml:space="preserve">, care ar putea fi realizată în mod credibil în condițiile specifice întreprinderii respective, în lipsa ajutorului solicitat prin </w:t>
            </w:r>
            <w:r w:rsidR="00271322" w:rsidRPr="00240372">
              <w:rPr>
                <w:i/>
                <w:noProof/>
                <w:lang w:val="ro-RO"/>
              </w:rPr>
              <w:t xml:space="preserve">Măsura de investiții </w:t>
            </w:r>
            <w:r w:rsidR="003149B4">
              <w:rPr>
                <w:i/>
                <w:noProof/>
                <w:lang w:val="ro-RO"/>
              </w:rPr>
              <w:t>2</w:t>
            </w:r>
            <w:r w:rsidR="00271322" w:rsidRPr="00240372">
              <w:rPr>
                <w:i/>
                <w:noProof/>
                <w:lang w:val="ro-RO"/>
              </w:rPr>
              <w:t xml:space="preserve"> din cadrul PNRR</w:t>
            </w:r>
            <w:r w:rsidRPr="00240372">
              <w:rPr>
                <w:i/>
                <w:noProof/>
                <w:lang w:val="ro-RO"/>
              </w:rPr>
              <w:t>, justificată tehnico-economic. Costurile de investiții din scenariul contrafactual vor fi stabilite pe baza a cel puțin 3 oferte de preț</w:t>
            </w:r>
            <w:r w:rsidR="00705457" w:rsidRPr="00240372">
              <w:rPr>
                <w:i/>
                <w:noProof/>
                <w:lang w:val="ro-RO"/>
              </w:rPr>
              <w:t>/cataloage</w:t>
            </w:r>
            <w:r w:rsidRPr="00240372">
              <w:rPr>
                <w:i/>
                <w:noProof/>
                <w:lang w:val="ro-RO"/>
              </w:rPr>
              <w:t>.</w:t>
            </w:r>
          </w:p>
          <w:p w14:paraId="4C2B382B" w14:textId="09F75BED" w:rsidR="00BB40C5" w:rsidRPr="00240372" w:rsidRDefault="00BB40C5" w:rsidP="00BB40C5">
            <w:pPr>
              <w:shd w:val="clear" w:color="auto" w:fill="FFFFFF"/>
              <w:spacing w:before="100" w:beforeAutospacing="1" w:after="100" w:afterAutospacing="1"/>
              <w:jc w:val="both"/>
              <w:rPr>
                <w:i/>
                <w:noProof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t>Se va corela cu Secțiunea Buget-Activități și cheltuieli,</w:t>
            </w:r>
            <w:r w:rsidRPr="00240372">
              <w:t xml:space="preserve"> </w:t>
            </w:r>
            <w:r w:rsidRPr="00240372">
              <w:rPr>
                <w:i/>
                <w:noProof/>
                <w:lang w:val="ro-RO"/>
              </w:rPr>
              <w:t>Studiul de fezabilitate din Cererea de finanţare</w:t>
            </w:r>
            <w:r w:rsidR="00D026F0" w:rsidRPr="00240372">
              <w:rPr>
                <w:i/>
                <w:noProof/>
                <w:lang w:val="ro-RO"/>
              </w:rPr>
              <w:t>.</w:t>
            </w:r>
          </w:p>
        </w:tc>
      </w:tr>
    </w:tbl>
    <w:p w14:paraId="4F69A4D1" w14:textId="77777777" w:rsidR="008F7BA4" w:rsidRPr="00240372" w:rsidRDefault="008F7BA4" w:rsidP="008F7BA4">
      <w:pPr>
        <w:shd w:val="clear" w:color="auto" w:fill="FFFFFF"/>
        <w:spacing w:after="0" w:line="240" w:lineRule="auto"/>
        <w:jc w:val="both"/>
        <w:rPr>
          <w:b/>
          <w:i/>
          <w:noProof/>
          <w:lang w:val="ro-RO"/>
        </w:rPr>
      </w:pPr>
    </w:p>
    <w:tbl>
      <w:tblPr>
        <w:tblStyle w:val="TableGrid1"/>
        <w:tblpPr w:leftFromText="180" w:rightFromText="180" w:vertAnchor="text" w:tblpY="-15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40372" w:rsidRPr="00240372" w14:paraId="31993459" w14:textId="77777777" w:rsidTr="00D961CC">
        <w:trPr>
          <w:trHeight w:val="1390"/>
        </w:trPr>
        <w:tc>
          <w:tcPr>
            <w:tcW w:w="9576" w:type="dxa"/>
          </w:tcPr>
          <w:p w14:paraId="7D6A5685" w14:textId="1A251FBE" w:rsidR="002016A1" w:rsidRPr="00240372" w:rsidRDefault="002016A1" w:rsidP="00E03A09">
            <w:pPr>
              <w:shd w:val="clear" w:color="auto" w:fill="FFFFFF"/>
              <w:jc w:val="both"/>
              <w:rPr>
                <w:i/>
                <w:noProof/>
                <w:lang w:val="ro-RO"/>
              </w:rPr>
            </w:pPr>
          </w:p>
          <w:p w14:paraId="5E746024" w14:textId="6A34C436" w:rsidR="00F925BF" w:rsidRPr="00240372" w:rsidRDefault="00F925BF" w:rsidP="00E03A09">
            <w:pPr>
              <w:shd w:val="clear" w:color="auto" w:fill="FFFFFF"/>
              <w:jc w:val="both"/>
              <w:rPr>
                <w:i/>
                <w:noProof/>
                <w:lang w:val="ro-RO"/>
              </w:rPr>
            </w:pPr>
            <w:proofErr w:type="spellStart"/>
            <w:r w:rsidRPr="00240372">
              <w:t>Costul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eligibil</w:t>
            </w:r>
            <w:proofErr w:type="spellEnd"/>
            <w:r w:rsidRPr="00240372">
              <w:t xml:space="preserve"> </w:t>
            </w:r>
            <w:proofErr w:type="spellStart"/>
            <w:r w:rsidRPr="00240372">
              <w:t>este</w:t>
            </w:r>
            <w:proofErr w:type="spellEnd"/>
            <w:r w:rsidRPr="00240372">
              <w:t xml:space="preserve"> </w:t>
            </w:r>
            <w:r w:rsidRPr="00240372">
              <w:rPr>
                <w:lang w:val="ro-RO" w:eastAsia="ro-RO"/>
              </w:rPr>
              <w:t xml:space="preserve">costul net suplimentar care </w:t>
            </w:r>
            <w:r w:rsidR="00215F8F" w:rsidRPr="00B05B77">
              <w:rPr>
                <w:color w:val="000000"/>
              </w:rPr>
              <w:t xml:space="preserve"> </w:t>
            </w:r>
            <w:proofErr w:type="spellStart"/>
            <w:r w:rsidR="00215F8F" w:rsidRPr="00B05B77">
              <w:rPr>
                <w:color w:val="000000"/>
              </w:rPr>
              <w:t>va</w:t>
            </w:r>
            <w:proofErr w:type="spellEnd"/>
            <w:r w:rsidR="00215F8F" w:rsidRPr="00B05B77">
              <w:rPr>
                <w:color w:val="000000"/>
              </w:rPr>
              <w:t xml:space="preserve"> fi </w:t>
            </w:r>
            <w:proofErr w:type="spellStart"/>
            <w:r w:rsidR="00215F8F" w:rsidRPr="00B05B77">
              <w:rPr>
                <w:color w:val="000000"/>
              </w:rPr>
              <w:t>aproximat</w:t>
            </w:r>
            <w:proofErr w:type="spellEnd"/>
            <w:r w:rsidR="00215F8F" w:rsidRPr="00B05B77">
              <w:rPr>
                <w:color w:val="000000"/>
              </w:rPr>
              <w:t xml:space="preserve"> </w:t>
            </w:r>
            <w:proofErr w:type="spellStart"/>
            <w:r w:rsidR="00215F8F" w:rsidRPr="00B05B77">
              <w:rPr>
                <w:color w:val="000000"/>
              </w:rPr>
              <w:t>prin</w:t>
            </w:r>
            <w:proofErr w:type="spellEnd"/>
            <w:r w:rsidR="00215F8F" w:rsidRPr="00B05B77">
              <w:rPr>
                <w:color w:val="000000"/>
              </w:rPr>
              <w:t xml:space="preserve"> VAN </w:t>
            </w:r>
            <w:proofErr w:type="spellStart"/>
            <w:r w:rsidR="00215F8F" w:rsidRPr="00B05B77">
              <w:rPr>
                <w:color w:val="000000"/>
              </w:rPr>
              <w:t>negativă</w:t>
            </w:r>
            <w:proofErr w:type="spellEnd"/>
            <w:r w:rsidR="00215F8F" w:rsidRPr="00B05B77">
              <w:rPr>
                <w:color w:val="000000"/>
              </w:rPr>
              <w:t xml:space="preserve"> a </w:t>
            </w:r>
            <w:proofErr w:type="spellStart"/>
            <w:r w:rsidR="00215F8F" w:rsidRPr="00B05B77">
              <w:rPr>
                <w:color w:val="000000"/>
              </w:rPr>
              <w:t>proiectului</w:t>
            </w:r>
            <w:proofErr w:type="spellEnd"/>
            <w:r w:rsidR="00215F8F" w:rsidRPr="00B05B77">
              <w:rPr>
                <w:color w:val="000000"/>
              </w:rPr>
              <w:t xml:space="preserve"> </w:t>
            </w:r>
            <w:proofErr w:type="spellStart"/>
            <w:r w:rsidR="00215F8F" w:rsidRPr="00B05B77">
              <w:rPr>
                <w:color w:val="000000"/>
              </w:rPr>
              <w:t>în</w:t>
            </w:r>
            <w:proofErr w:type="spellEnd"/>
            <w:r w:rsidR="00215F8F" w:rsidRPr="00B05B77">
              <w:rPr>
                <w:color w:val="000000"/>
              </w:rPr>
              <w:t xml:space="preserve"> </w:t>
            </w:r>
            <w:proofErr w:type="spellStart"/>
            <w:r w:rsidR="00215F8F" w:rsidRPr="00B05B77">
              <w:rPr>
                <w:color w:val="000000"/>
              </w:rPr>
              <w:t>scenariul</w:t>
            </w:r>
            <w:proofErr w:type="spellEnd"/>
            <w:r w:rsidR="00215F8F" w:rsidRPr="00B05B77">
              <w:rPr>
                <w:color w:val="000000"/>
              </w:rPr>
              <w:t xml:space="preserve"> contrafactual </w:t>
            </w:r>
            <w:proofErr w:type="spellStart"/>
            <w:r w:rsidR="00215F8F" w:rsidRPr="00B05B77">
              <w:rPr>
                <w:color w:val="000000"/>
              </w:rPr>
              <w:t>în</w:t>
            </w:r>
            <w:proofErr w:type="spellEnd"/>
            <w:r w:rsidR="00215F8F" w:rsidRPr="00B05B77">
              <w:rPr>
                <w:color w:val="000000"/>
              </w:rPr>
              <w:t xml:space="preserve"> </w:t>
            </w:r>
            <w:proofErr w:type="spellStart"/>
            <w:r w:rsidR="00215F8F" w:rsidRPr="00B05B77">
              <w:rPr>
                <w:color w:val="000000"/>
              </w:rPr>
              <w:t>absența</w:t>
            </w:r>
            <w:proofErr w:type="spellEnd"/>
            <w:r w:rsidR="00215F8F" w:rsidRPr="00B05B77">
              <w:rPr>
                <w:color w:val="000000"/>
              </w:rPr>
              <w:t xml:space="preserve"> </w:t>
            </w:r>
            <w:proofErr w:type="spellStart"/>
            <w:r w:rsidR="00215F8F" w:rsidRPr="00B05B77">
              <w:rPr>
                <w:color w:val="000000"/>
              </w:rPr>
              <w:t>ajutorului</w:t>
            </w:r>
            <w:proofErr w:type="spellEnd"/>
            <w:r w:rsidR="00215F8F" w:rsidRPr="00B05B77">
              <w:rPr>
                <w:color w:val="000000"/>
              </w:rPr>
              <w:t xml:space="preserve"> pe </w:t>
            </w:r>
            <w:proofErr w:type="spellStart"/>
            <w:r w:rsidR="00215F8F" w:rsidRPr="00B05B77">
              <w:rPr>
                <w:color w:val="000000"/>
              </w:rPr>
              <w:t>durata</w:t>
            </w:r>
            <w:proofErr w:type="spellEnd"/>
            <w:r w:rsidR="00215F8F" w:rsidRPr="00B05B77">
              <w:rPr>
                <w:color w:val="000000"/>
              </w:rPr>
              <w:t xml:space="preserve"> </w:t>
            </w:r>
            <w:proofErr w:type="spellStart"/>
            <w:r w:rsidR="00215F8F" w:rsidRPr="00B05B77">
              <w:rPr>
                <w:color w:val="000000"/>
              </w:rPr>
              <w:t>proiectului</w:t>
            </w:r>
            <w:proofErr w:type="spellEnd"/>
            <w:r w:rsidR="00215F8F" w:rsidRPr="00B05B77">
              <w:rPr>
                <w:color w:val="000000"/>
              </w:rPr>
              <w:t xml:space="preserve"> (VAN = 0 </w:t>
            </w:r>
            <w:proofErr w:type="spellStart"/>
            <w:r w:rsidR="00215F8F" w:rsidRPr="00B05B77">
              <w:rPr>
                <w:color w:val="000000"/>
              </w:rPr>
              <w:t>în</w:t>
            </w:r>
            <w:proofErr w:type="spellEnd"/>
            <w:r w:rsidR="00215F8F" w:rsidRPr="00B05B77">
              <w:rPr>
                <w:color w:val="000000"/>
              </w:rPr>
              <w:t xml:space="preserve"> </w:t>
            </w:r>
            <w:proofErr w:type="spellStart"/>
            <w:r w:rsidR="00215F8F" w:rsidRPr="00B05B77">
              <w:rPr>
                <w:color w:val="000000"/>
              </w:rPr>
              <w:t>scenariul</w:t>
            </w:r>
            <w:proofErr w:type="spellEnd"/>
            <w:r w:rsidR="00215F8F" w:rsidRPr="00B05B77">
              <w:rPr>
                <w:color w:val="000000"/>
              </w:rPr>
              <w:t xml:space="preserve"> contrafactual)</w:t>
            </w:r>
            <w:r w:rsidR="00215F8F">
              <w:rPr>
                <w:color w:val="000000"/>
              </w:rPr>
              <w:t xml:space="preserve"> î</w:t>
            </w:r>
            <w:r w:rsidRPr="00240372">
              <w:rPr>
                <w:lang w:val="ro-RO" w:eastAsia="ro-RO"/>
              </w:rPr>
              <w:t xml:space="preserve">n conformitate cu prevederile </w:t>
            </w:r>
            <w:proofErr w:type="spellStart"/>
            <w:r w:rsidR="00480936" w:rsidRPr="00240372">
              <w:rPr>
                <w:b/>
                <w:lang w:val="ro-RO"/>
              </w:rPr>
              <w:t>Comunicar</w:t>
            </w:r>
            <w:r w:rsidR="00215F8F">
              <w:rPr>
                <w:b/>
                <w:lang w:val="ro-RO"/>
              </w:rPr>
              <w:t>ii</w:t>
            </w:r>
            <w:proofErr w:type="spellEnd"/>
            <w:r w:rsidR="00480936" w:rsidRPr="00240372">
              <w:rPr>
                <w:b/>
                <w:lang w:val="ro-RO"/>
              </w:rPr>
              <w:t xml:space="preserve"> Comisiei </w:t>
            </w:r>
            <w:r w:rsidRPr="00240372">
              <w:rPr>
                <w:b/>
                <w:lang w:val="ro-RO"/>
              </w:rPr>
              <w:t>- Orientări privind ajutoarele de stat pentru climă, protecția mediului și energie pentru 2022</w:t>
            </w:r>
          </w:p>
        </w:tc>
      </w:tr>
      <w:tr w:rsidR="00240372" w:rsidRPr="00240372" w14:paraId="7C57B515" w14:textId="77777777" w:rsidTr="00D961CC">
        <w:trPr>
          <w:trHeight w:val="1390"/>
        </w:trPr>
        <w:tc>
          <w:tcPr>
            <w:tcW w:w="9576" w:type="dxa"/>
          </w:tcPr>
          <w:p w14:paraId="2DE09F1E" w14:textId="050F5FB5" w:rsidR="00BB40C5" w:rsidRPr="00240372" w:rsidRDefault="00BB40C5" w:rsidP="00BB40C5">
            <w:pPr>
              <w:shd w:val="clear" w:color="auto" w:fill="FFFFFF"/>
              <w:jc w:val="both"/>
              <w:rPr>
                <w:i/>
                <w:noProof/>
                <w:lang w:val="ro-RO"/>
              </w:rPr>
            </w:pPr>
          </w:p>
          <w:p w14:paraId="1D45082F" w14:textId="16E87207" w:rsidR="00BB40C5" w:rsidRPr="00240372" w:rsidRDefault="00BB40C5" w:rsidP="00E03A09">
            <w:pPr>
              <w:shd w:val="clear" w:color="auto" w:fill="FFFFFF"/>
              <w:jc w:val="both"/>
              <w:rPr>
                <w:b/>
                <w:noProof/>
                <w:lang w:val="ro-RO"/>
              </w:rPr>
            </w:pPr>
            <w:r w:rsidRPr="00240372">
              <w:rPr>
                <w:i/>
                <w:noProof/>
                <w:lang w:val="ro-RO"/>
              </w:rPr>
              <w:t xml:space="preserve">Se va justifica </w:t>
            </w:r>
            <w:r w:rsidR="00271322" w:rsidRPr="00240372">
              <w:rPr>
                <w:i/>
                <w:noProof/>
                <w:lang w:val="ro-RO"/>
              </w:rPr>
              <w:t>î</w:t>
            </w:r>
            <w:r w:rsidRPr="00240372">
              <w:rPr>
                <w:i/>
                <w:noProof/>
                <w:lang w:val="ro-RO"/>
              </w:rPr>
              <w:t>ncadrarea în una din categoriile de întreprinderi prevăzute de prevederile legii 346</w:t>
            </w:r>
            <w:r w:rsidR="00705457" w:rsidRPr="00240372">
              <w:rPr>
                <w:i/>
                <w:noProof/>
                <w:lang w:val="ro-RO"/>
              </w:rPr>
              <w:t>/</w:t>
            </w:r>
            <w:r w:rsidRPr="00240372">
              <w:rPr>
                <w:i/>
                <w:noProof/>
                <w:lang w:val="ro-RO"/>
              </w:rPr>
              <w:t xml:space="preserve">2004 </w:t>
            </w:r>
            <w:r w:rsidRPr="00240372">
              <w:rPr>
                <w:lang w:val="ro-RO"/>
              </w:rPr>
              <w:t xml:space="preserve"> </w:t>
            </w:r>
            <w:r w:rsidRPr="00240372">
              <w:rPr>
                <w:i/>
                <w:noProof/>
                <w:lang w:val="ro-RO"/>
              </w:rPr>
              <w:t>privind stimularea înfiinţării şi dezvoltării întreprinderilor mici şi mijlocii art. 4, alin 1, în corelare cu Declaraţia privind tipul întreprinderii</w:t>
            </w:r>
            <w:r w:rsidR="00E03A09" w:rsidRPr="00240372">
              <w:rPr>
                <w:i/>
                <w:noProof/>
                <w:lang w:val="ro-RO"/>
              </w:rPr>
              <w:t xml:space="preserve"> și Secțiunea Buget-Activități și cheltuieli din Cererea de finanţare</w:t>
            </w:r>
            <w:r w:rsidR="008C2BC0">
              <w:rPr>
                <w:i/>
                <w:noProof/>
                <w:lang w:val="ro-RO"/>
              </w:rPr>
              <w:t>.</w:t>
            </w:r>
          </w:p>
        </w:tc>
      </w:tr>
    </w:tbl>
    <w:p w14:paraId="22F813CE" w14:textId="77777777" w:rsidR="008C2BC0" w:rsidRDefault="008C2BC0" w:rsidP="008F7BA4">
      <w:pPr>
        <w:shd w:val="clear" w:color="auto" w:fill="FFFFFF"/>
        <w:spacing w:after="0" w:line="240" w:lineRule="auto"/>
        <w:jc w:val="both"/>
        <w:rPr>
          <w:b/>
          <w:i/>
          <w:noProof/>
          <w:lang w:val="ro-RO"/>
        </w:rPr>
      </w:pPr>
    </w:p>
    <w:p w14:paraId="200D6BB1" w14:textId="6E6B3C60" w:rsidR="008F7BA4" w:rsidRPr="00240372" w:rsidRDefault="008F7BA4" w:rsidP="008F7BA4">
      <w:pPr>
        <w:shd w:val="clear" w:color="auto" w:fill="FFFFFF"/>
        <w:spacing w:after="0" w:line="240" w:lineRule="auto"/>
        <w:jc w:val="both"/>
        <w:rPr>
          <w:b/>
          <w:i/>
          <w:noProof/>
          <w:lang w:val="ro-RO"/>
        </w:rPr>
      </w:pPr>
      <w:r w:rsidRPr="00240372">
        <w:rPr>
          <w:b/>
          <w:i/>
          <w:noProof/>
          <w:lang w:val="ro-RO"/>
        </w:rPr>
        <w:t xml:space="preserve">Pentru probarea elementelor de mai sus, se pot prezenta şi ataşa, în plus, şi alte </w:t>
      </w:r>
      <w:r w:rsidR="00B34712" w:rsidRPr="00240372">
        <w:rPr>
          <w:b/>
          <w:i/>
          <w:noProof/>
          <w:lang w:val="ro-RO"/>
        </w:rPr>
        <w:t xml:space="preserve">informaţii/ </w:t>
      </w:r>
      <w:r w:rsidRPr="00240372">
        <w:rPr>
          <w:b/>
          <w:i/>
          <w:noProof/>
          <w:lang w:val="ro-RO"/>
        </w:rPr>
        <w:t>documente faţă de cele solicitate, acolo unde este cazul.</w:t>
      </w:r>
    </w:p>
    <w:p w14:paraId="37256564" w14:textId="77777777" w:rsidR="00B1772C" w:rsidRPr="00240372" w:rsidRDefault="00B1772C" w:rsidP="008F7BA4">
      <w:pPr>
        <w:shd w:val="clear" w:color="auto" w:fill="FFFFFF"/>
        <w:spacing w:after="0" w:line="240" w:lineRule="auto"/>
        <w:jc w:val="both"/>
        <w:rPr>
          <w:b/>
          <w:i/>
          <w:noProof/>
          <w:lang w:val="ro-RO"/>
        </w:rPr>
      </w:pPr>
    </w:p>
    <w:p w14:paraId="30AF79FB" w14:textId="77777777" w:rsidR="00B1772C" w:rsidRPr="00240372" w:rsidRDefault="00B1772C" w:rsidP="008F7BA4">
      <w:pPr>
        <w:shd w:val="clear" w:color="auto" w:fill="FFFFFF"/>
        <w:spacing w:after="0" w:line="240" w:lineRule="auto"/>
        <w:jc w:val="both"/>
        <w:rPr>
          <w:b/>
          <w:i/>
          <w:noProof/>
          <w:szCs w:val="24"/>
          <w:lang w:val="ro-RO"/>
        </w:rPr>
      </w:pPr>
    </w:p>
    <w:p w14:paraId="061C9FE2" w14:textId="5D49C4B5" w:rsidR="00D329E9" w:rsidRPr="00240372" w:rsidRDefault="00B1772C" w:rsidP="007054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Cs w:val="24"/>
          <w:lang w:val="ro-RO" w:eastAsia="sk-SK"/>
        </w:rPr>
      </w:pPr>
      <w:r w:rsidRPr="00240372">
        <w:rPr>
          <w:rFonts w:eastAsia="Times New Roman" w:cs="Times New Roman"/>
          <w:b/>
          <w:szCs w:val="24"/>
          <w:lang w:val="ro-RO" w:eastAsia="sk-SK"/>
        </w:rPr>
        <w:t xml:space="preserve">Data:                                              </w:t>
      </w:r>
      <w:r w:rsidR="006222DB" w:rsidRPr="00240372">
        <w:rPr>
          <w:rFonts w:eastAsia="Times New Roman" w:cs="Times New Roman"/>
          <w:b/>
          <w:szCs w:val="24"/>
          <w:lang w:val="ro-RO" w:eastAsia="sk-SK"/>
        </w:rPr>
        <w:t xml:space="preserve">     </w:t>
      </w:r>
      <w:r w:rsidRPr="00240372">
        <w:rPr>
          <w:rFonts w:eastAsia="Times New Roman" w:cs="Times New Roman"/>
          <w:b/>
          <w:szCs w:val="24"/>
          <w:lang w:val="ro-RO" w:eastAsia="sk-SK"/>
        </w:rPr>
        <w:t xml:space="preserve">   Semnăturǎ reprezentant legal al solicitantului:</w:t>
      </w:r>
    </w:p>
    <w:sectPr w:rsidR="00D329E9" w:rsidRPr="00240372" w:rsidSect="00205561">
      <w:headerReference w:type="default" r:id="rId7"/>
      <w:pgSz w:w="12240" w:h="15840"/>
      <w:pgMar w:top="109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37C22" w14:textId="77777777" w:rsidR="00C90EC9" w:rsidRDefault="00C90EC9" w:rsidP="00B1772C">
      <w:pPr>
        <w:spacing w:after="0" w:line="240" w:lineRule="auto"/>
      </w:pPr>
      <w:r>
        <w:separator/>
      </w:r>
    </w:p>
  </w:endnote>
  <w:endnote w:type="continuationSeparator" w:id="0">
    <w:p w14:paraId="6E99F403" w14:textId="77777777" w:rsidR="00C90EC9" w:rsidRDefault="00C90EC9" w:rsidP="00B17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61509" w14:textId="77777777" w:rsidR="00C90EC9" w:rsidRDefault="00C90EC9" w:rsidP="00B1772C">
      <w:pPr>
        <w:spacing w:after="0" w:line="240" w:lineRule="auto"/>
      </w:pPr>
      <w:r>
        <w:separator/>
      </w:r>
    </w:p>
  </w:footnote>
  <w:footnote w:type="continuationSeparator" w:id="0">
    <w:p w14:paraId="3A5FB5FF" w14:textId="77777777" w:rsidR="00C90EC9" w:rsidRDefault="00C90EC9" w:rsidP="00B177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A35CB" w14:textId="5CE43610" w:rsidR="00E77C31" w:rsidRPr="004D5A90" w:rsidRDefault="00205561" w:rsidP="00205561">
    <w:pPr>
      <w:pStyle w:val="Header"/>
      <w:spacing w:after="240"/>
      <w:rPr>
        <w:sz w:val="16"/>
        <w:szCs w:val="16"/>
        <w:lang w:val="fr-FR"/>
      </w:rPr>
    </w:pPr>
    <w:r w:rsidRPr="004D5A90">
      <w:rPr>
        <w:sz w:val="16"/>
        <w:szCs w:val="16"/>
        <w:lang w:val="fr-FR"/>
      </w:rPr>
      <w:t>P</w:t>
    </w:r>
    <w:r w:rsidR="00703EE5">
      <w:rPr>
        <w:sz w:val="16"/>
        <w:szCs w:val="16"/>
        <w:lang w:val="fr-FR"/>
      </w:rPr>
      <w:t>NRR</w:t>
    </w:r>
    <w:r w:rsidRPr="004D5A90">
      <w:rPr>
        <w:sz w:val="16"/>
        <w:szCs w:val="16"/>
        <w:lang w:val="fr-FR"/>
      </w:rPr>
      <w:t xml:space="preserve">                                                                                                       </w:t>
    </w:r>
    <w:proofErr w:type="spellStart"/>
    <w:r w:rsidR="00ED4B39">
      <w:rPr>
        <w:sz w:val="16"/>
        <w:szCs w:val="16"/>
        <w:lang w:val="fr-FR"/>
      </w:rPr>
      <w:t>Anexa</w:t>
    </w:r>
    <w:proofErr w:type="spellEnd"/>
    <w:r w:rsidR="00ED4B39">
      <w:rPr>
        <w:sz w:val="16"/>
        <w:szCs w:val="16"/>
        <w:lang w:val="fr-FR"/>
      </w:rPr>
      <w:t xml:space="preserve"> 1.a</w:t>
    </w:r>
    <w:r w:rsidR="005D7543">
      <w:rPr>
        <w:sz w:val="16"/>
        <w:szCs w:val="16"/>
        <w:lang w:val="fr-FR"/>
      </w:rPr>
      <w:t xml:space="preserve">   </w:t>
    </w:r>
    <w:r w:rsidRPr="004D5A90">
      <w:rPr>
        <w:sz w:val="16"/>
        <w:szCs w:val="16"/>
        <w:lang w:val="fr-FR"/>
      </w:rPr>
      <w:t xml:space="preserve">  </w:t>
    </w:r>
    <w:proofErr w:type="spellStart"/>
    <w:r w:rsidRPr="004D5A90">
      <w:rPr>
        <w:sz w:val="16"/>
        <w:szCs w:val="16"/>
        <w:lang w:val="fr-FR"/>
      </w:rPr>
      <w:t>Ghidul</w:t>
    </w:r>
    <w:proofErr w:type="spellEnd"/>
    <w:r w:rsidRPr="004D5A90">
      <w:rPr>
        <w:sz w:val="16"/>
        <w:szCs w:val="16"/>
        <w:lang w:val="fr-FR"/>
      </w:rPr>
      <w:t xml:space="preserve"> </w:t>
    </w:r>
    <w:proofErr w:type="spellStart"/>
    <w:r w:rsidRPr="004D5A90">
      <w:rPr>
        <w:sz w:val="16"/>
        <w:szCs w:val="16"/>
        <w:lang w:val="fr-FR"/>
      </w:rPr>
      <w:t>Solicitantului_</w:t>
    </w:r>
    <w:r w:rsidR="00703EE5">
      <w:rPr>
        <w:sz w:val="16"/>
        <w:szCs w:val="16"/>
        <w:lang w:val="fr-FR"/>
      </w:rPr>
      <w:t>Masura</w:t>
    </w:r>
    <w:proofErr w:type="spellEnd"/>
    <w:r w:rsidR="00703EE5">
      <w:rPr>
        <w:sz w:val="16"/>
        <w:szCs w:val="16"/>
        <w:lang w:val="fr-FR"/>
      </w:rPr>
      <w:t xml:space="preserve"> de </w:t>
    </w:r>
    <w:proofErr w:type="spellStart"/>
    <w:r w:rsidR="00703EE5">
      <w:rPr>
        <w:sz w:val="16"/>
        <w:szCs w:val="16"/>
        <w:lang w:val="fr-FR"/>
      </w:rPr>
      <w:t>investitii</w:t>
    </w:r>
    <w:proofErr w:type="spellEnd"/>
    <w:r w:rsidR="00703EE5">
      <w:rPr>
        <w:sz w:val="16"/>
        <w:szCs w:val="16"/>
        <w:lang w:val="fr-FR"/>
      </w:rPr>
      <w:t xml:space="preserve"> </w:t>
    </w:r>
    <w:r w:rsidR="007237A4">
      <w:rPr>
        <w:sz w:val="16"/>
        <w:szCs w:val="16"/>
        <w:lang w:val="fr-FR"/>
      </w:rPr>
      <w:t>I.</w:t>
    </w:r>
    <w:r w:rsidR="008C726B">
      <w:rPr>
        <w:sz w:val="16"/>
        <w:szCs w:val="16"/>
        <w:lang w:val="fr-FR"/>
      </w:rPr>
      <w:t xml:space="preserve">2 </w:t>
    </w:r>
    <w:proofErr w:type="spellStart"/>
    <w:r w:rsidR="008C726B">
      <w:rPr>
        <w:sz w:val="16"/>
        <w:szCs w:val="16"/>
        <w:lang w:val="fr-FR"/>
      </w:rPr>
      <w:t>sub-masura</w:t>
    </w:r>
    <w:proofErr w:type="spellEnd"/>
    <w:r w:rsidR="008C726B">
      <w:rPr>
        <w:sz w:val="16"/>
        <w:szCs w:val="16"/>
        <w:lang w:val="fr-FR"/>
      </w:rPr>
      <w:t xml:space="preserve"> 2.2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9067F"/>
    <w:multiLevelType w:val="hybridMultilevel"/>
    <w:tmpl w:val="52BC46B2"/>
    <w:lvl w:ilvl="0" w:tplc="3FDC3C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E75B1"/>
    <w:multiLevelType w:val="hybridMultilevel"/>
    <w:tmpl w:val="7F403D1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39B7A68"/>
    <w:multiLevelType w:val="hybridMultilevel"/>
    <w:tmpl w:val="2718445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5D34551"/>
    <w:multiLevelType w:val="hybridMultilevel"/>
    <w:tmpl w:val="E7F8C60E"/>
    <w:lvl w:ilvl="0" w:tplc="24402B90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772708D"/>
    <w:multiLevelType w:val="hybridMultilevel"/>
    <w:tmpl w:val="625263CE"/>
    <w:lvl w:ilvl="0" w:tplc="0409000D">
      <w:start w:val="1"/>
      <w:numFmt w:val="bullet"/>
      <w:lvlText w:val=""/>
      <w:lvlJc w:val="left"/>
      <w:pPr>
        <w:ind w:left="18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5" w15:restartNumberingAfterBreak="0">
    <w:nsid w:val="67CD7ECA"/>
    <w:multiLevelType w:val="hybridMultilevel"/>
    <w:tmpl w:val="83A0F57E"/>
    <w:lvl w:ilvl="0" w:tplc="62CA7EA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484DDA"/>
    <w:multiLevelType w:val="hybridMultilevel"/>
    <w:tmpl w:val="95D0C9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211EF6"/>
    <w:multiLevelType w:val="hybridMultilevel"/>
    <w:tmpl w:val="0F4AF5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0B4"/>
    <w:rsid w:val="00003A1A"/>
    <w:rsid w:val="00013028"/>
    <w:rsid w:val="00037EF5"/>
    <w:rsid w:val="000550B4"/>
    <w:rsid w:val="00062253"/>
    <w:rsid w:val="00071F6C"/>
    <w:rsid w:val="000B43F6"/>
    <w:rsid w:val="000C2C4B"/>
    <w:rsid w:val="000D5A07"/>
    <w:rsid w:val="000F5D28"/>
    <w:rsid w:val="000F6D69"/>
    <w:rsid w:val="0010170A"/>
    <w:rsid w:val="001127FF"/>
    <w:rsid w:val="001259A8"/>
    <w:rsid w:val="001276E2"/>
    <w:rsid w:val="00131189"/>
    <w:rsid w:val="00132DD7"/>
    <w:rsid w:val="001353D1"/>
    <w:rsid w:val="00136FEB"/>
    <w:rsid w:val="00137F01"/>
    <w:rsid w:val="00157B0B"/>
    <w:rsid w:val="0016229D"/>
    <w:rsid w:val="00172F38"/>
    <w:rsid w:val="00181923"/>
    <w:rsid w:val="001845EA"/>
    <w:rsid w:val="001943E3"/>
    <w:rsid w:val="001B0957"/>
    <w:rsid w:val="001B13EE"/>
    <w:rsid w:val="001B3667"/>
    <w:rsid w:val="001C1064"/>
    <w:rsid w:val="001C3BD5"/>
    <w:rsid w:val="001C4190"/>
    <w:rsid w:val="001C7112"/>
    <w:rsid w:val="001D18BB"/>
    <w:rsid w:val="002016A1"/>
    <w:rsid w:val="00205561"/>
    <w:rsid w:val="00215756"/>
    <w:rsid w:val="00215F8F"/>
    <w:rsid w:val="00233686"/>
    <w:rsid w:val="00237C09"/>
    <w:rsid w:val="00240372"/>
    <w:rsid w:val="00243867"/>
    <w:rsid w:val="00270CA3"/>
    <w:rsid w:val="00271322"/>
    <w:rsid w:val="00280831"/>
    <w:rsid w:val="00284F62"/>
    <w:rsid w:val="00292823"/>
    <w:rsid w:val="002A0C9A"/>
    <w:rsid w:val="002A63AE"/>
    <w:rsid w:val="002A7675"/>
    <w:rsid w:val="002B651A"/>
    <w:rsid w:val="002B7156"/>
    <w:rsid w:val="002C4CBF"/>
    <w:rsid w:val="00305914"/>
    <w:rsid w:val="00306447"/>
    <w:rsid w:val="003149B4"/>
    <w:rsid w:val="00335A65"/>
    <w:rsid w:val="00355729"/>
    <w:rsid w:val="003633A6"/>
    <w:rsid w:val="00365DF4"/>
    <w:rsid w:val="00373896"/>
    <w:rsid w:val="00374ADE"/>
    <w:rsid w:val="00390560"/>
    <w:rsid w:val="003933E0"/>
    <w:rsid w:val="00396211"/>
    <w:rsid w:val="003A6D6F"/>
    <w:rsid w:val="003B1722"/>
    <w:rsid w:val="003B5493"/>
    <w:rsid w:val="003B7D21"/>
    <w:rsid w:val="003C5801"/>
    <w:rsid w:val="003D0725"/>
    <w:rsid w:val="003D20DF"/>
    <w:rsid w:val="003F037D"/>
    <w:rsid w:val="0040695A"/>
    <w:rsid w:val="0040742C"/>
    <w:rsid w:val="00421E8E"/>
    <w:rsid w:val="00423F5E"/>
    <w:rsid w:val="00433C4B"/>
    <w:rsid w:val="00440BA8"/>
    <w:rsid w:val="00445199"/>
    <w:rsid w:val="0045319F"/>
    <w:rsid w:val="00464009"/>
    <w:rsid w:val="00470838"/>
    <w:rsid w:val="00480936"/>
    <w:rsid w:val="004812B8"/>
    <w:rsid w:val="00486352"/>
    <w:rsid w:val="004867CE"/>
    <w:rsid w:val="00494679"/>
    <w:rsid w:val="004C2091"/>
    <w:rsid w:val="004D5A90"/>
    <w:rsid w:val="004D7CCE"/>
    <w:rsid w:val="004F1C3D"/>
    <w:rsid w:val="004F5FD8"/>
    <w:rsid w:val="00530FAD"/>
    <w:rsid w:val="00551B62"/>
    <w:rsid w:val="005B1CB7"/>
    <w:rsid w:val="005C6B45"/>
    <w:rsid w:val="005D5609"/>
    <w:rsid w:val="005D7543"/>
    <w:rsid w:val="005F3C9B"/>
    <w:rsid w:val="005F5D53"/>
    <w:rsid w:val="006049F7"/>
    <w:rsid w:val="00606AD9"/>
    <w:rsid w:val="0061296D"/>
    <w:rsid w:val="0061305D"/>
    <w:rsid w:val="0062206D"/>
    <w:rsid w:val="006222DB"/>
    <w:rsid w:val="00625C36"/>
    <w:rsid w:val="006359AE"/>
    <w:rsid w:val="006407F0"/>
    <w:rsid w:val="00643719"/>
    <w:rsid w:val="00650E27"/>
    <w:rsid w:val="00671A5F"/>
    <w:rsid w:val="00687154"/>
    <w:rsid w:val="00687A50"/>
    <w:rsid w:val="00687F6F"/>
    <w:rsid w:val="00696135"/>
    <w:rsid w:val="006A26FA"/>
    <w:rsid w:val="006B3E66"/>
    <w:rsid w:val="006B67DF"/>
    <w:rsid w:val="006C4180"/>
    <w:rsid w:val="006D1688"/>
    <w:rsid w:val="006D6E8A"/>
    <w:rsid w:val="006F596D"/>
    <w:rsid w:val="00703EE5"/>
    <w:rsid w:val="00705457"/>
    <w:rsid w:val="007237A4"/>
    <w:rsid w:val="007327BB"/>
    <w:rsid w:val="00733A9C"/>
    <w:rsid w:val="007404FC"/>
    <w:rsid w:val="00744352"/>
    <w:rsid w:val="00746ED5"/>
    <w:rsid w:val="0076025B"/>
    <w:rsid w:val="00790C20"/>
    <w:rsid w:val="00792217"/>
    <w:rsid w:val="00796E6A"/>
    <w:rsid w:val="007A090F"/>
    <w:rsid w:val="007A4998"/>
    <w:rsid w:val="007B17E3"/>
    <w:rsid w:val="007C1A35"/>
    <w:rsid w:val="007C3ECB"/>
    <w:rsid w:val="007D1316"/>
    <w:rsid w:val="007F2198"/>
    <w:rsid w:val="007F2524"/>
    <w:rsid w:val="0080015E"/>
    <w:rsid w:val="008209F4"/>
    <w:rsid w:val="00824C5B"/>
    <w:rsid w:val="0082538B"/>
    <w:rsid w:val="00830E60"/>
    <w:rsid w:val="0083509A"/>
    <w:rsid w:val="00886241"/>
    <w:rsid w:val="00891660"/>
    <w:rsid w:val="00894872"/>
    <w:rsid w:val="00895655"/>
    <w:rsid w:val="00895F68"/>
    <w:rsid w:val="008A542A"/>
    <w:rsid w:val="008C2BC0"/>
    <w:rsid w:val="008C726B"/>
    <w:rsid w:val="008D43BC"/>
    <w:rsid w:val="008E072C"/>
    <w:rsid w:val="008E2415"/>
    <w:rsid w:val="008E4D25"/>
    <w:rsid w:val="008F7BA4"/>
    <w:rsid w:val="009054E2"/>
    <w:rsid w:val="00913A01"/>
    <w:rsid w:val="00926DA7"/>
    <w:rsid w:val="009515B1"/>
    <w:rsid w:val="00964B14"/>
    <w:rsid w:val="00997686"/>
    <w:rsid w:val="009A0F78"/>
    <w:rsid w:val="009A3300"/>
    <w:rsid w:val="009C4363"/>
    <w:rsid w:val="009C5D87"/>
    <w:rsid w:val="009D7400"/>
    <w:rsid w:val="009F5EEC"/>
    <w:rsid w:val="00A22C57"/>
    <w:rsid w:val="00A25A48"/>
    <w:rsid w:val="00A31866"/>
    <w:rsid w:val="00A50B08"/>
    <w:rsid w:val="00A54628"/>
    <w:rsid w:val="00A57E97"/>
    <w:rsid w:val="00A73FDA"/>
    <w:rsid w:val="00A7533E"/>
    <w:rsid w:val="00AA0B69"/>
    <w:rsid w:val="00AA4C43"/>
    <w:rsid w:val="00AC79F8"/>
    <w:rsid w:val="00AE032F"/>
    <w:rsid w:val="00B00367"/>
    <w:rsid w:val="00B06FFE"/>
    <w:rsid w:val="00B1377B"/>
    <w:rsid w:val="00B13EB6"/>
    <w:rsid w:val="00B1772C"/>
    <w:rsid w:val="00B23684"/>
    <w:rsid w:val="00B32562"/>
    <w:rsid w:val="00B34712"/>
    <w:rsid w:val="00B37667"/>
    <w:rsid w:val="00B42D91"/>
    <w:rsid w:val="00B44EEA"/>
    <w:rsid w:val="00B54331"/>
    <w:rsid w:val="00B57A33"/>
    <w:rsid w:val="00B612FE"/>
    <w:rsid w:val="00B80FF9"/>
    <w:rsid w:val="00B81C7F"/>
    <w:rsid w:val="00B86A73"/>
    <w:rsid w:val="00B900A7"/>
    <w:rsid w:val="00B91160"/>
    <w:rsid w:val="00BA0356"/>
    <w:rsid w:val="00BA26D2"/>
    <w:rsid w:val="00BA5EA8"/>
    <w:rsid w:val="00BA64BB"/>
    <w:rsid w:val="00BB3836"/>
    <w:rsid w:val="00BB40C5"/>
    <w:rsid w:val="00BD6E19"/>
    <w:rsid w:val="00BE3CB5"/>
    <w:rsid w:val="00C113F2"/>
    <w:rsid w:val="00C217DE"/>
    <w:rsid w:val="00C2667C"/>
    <w:rsid w:val="00C30B3D"/>
    <w:rsid w:val="00C4076B"/>
    <w:rsid w:val="00C456E8"/>
    <w:rsid w:val="00C73719"/>
    <w:rsid w:val="00C760F1"/>
    <w:rsid w:val="00C7747B"/>
    <w:rsid w:val="00C84399"/>
    <w:rsid w:val="00C85F72"/>
    <w:rsid w:val="00C90EC9"/>
    <w:rsid w:val="00CA7581"/>
    <w:rsid w:val="00CB1B17"/>
    <w:rsid w:val="00CB1CF6"/>
    <w:rsid w:val="00CB1E2F"/>
    <w:rsid w:val="00CC155D"/>
    <w:rsid w:val="00CE0DB7"/>
    <w:rsid w:val="00CE2433"/>
    <w:rsid w:val="00CE4705"/>
    <w:rsid w:val="00CF7BF0"/>
    <w:rsid w:val="00D026F0"/>
    <w:rsid w:val="00D02DC5"/>
    <w:rsid w:val="00D05569"/>
    <w:rsid w:val="00D15FDB"/>
    <w:rsid w:val="00D254D7"/>
    <w:rsid w:val="00D329E9"/>
    <w:rsid w:val="00D369E7"/>
    <w:rsid w:val="00D43DAA"/>
    <w:rsid w:val="00D72871"/>
    <w:rsid w:val="00D860DD"/>
    <w:rsid w:val="00D90E91"/>
    <w:rsid w:val="00DA0825"/>
    <w:rsid w:val="00DA60F3"/>
    <w:rsid w:val="00DB6F54"/>
    <w:rsid w:val="00DD45D5"/>
    <w:rsid w:val="00DF74B5"/>
    <w:rsid w:val="00E03A09"/>
    <w:rsid w:val="00E27B83"/>
    <w:rsid w:val="00E354BC"/>
    <w:rsid w:val="00E62D55"/>
    <w:rsid w:val="00E77C31"/>
    <w:rsid w:val="00E77D5A"/>
    <w:rsid w:val="00E947EE"/>
    <w:rsid w:val="00EB5A9A"/>
    <w:rsid w:val="00EC7EBD"/>
    <w:rsid w:val="00ED3466"/>
    <w:rsid w:val="00ED4B39"/>
    <w:rsid w:val="00ED62CD"/>
    <w:rsid w:val="00F00647"/>
    <w:rsid w:val="00F03D15"/>
    <w:rsid w:val="00F06990"/>
    <w:rsid w:val="00F34F53"/>
    <w:rsid w:val="00F4349E"/>
    <w:rsid w:val="00F6684F"/>
    <w:rsid w:val="00F70E2A"/>
    <w:rsid w:val="00F711CB"/>
    <w:rsid w:val="00F925BF"/>
    <w:rsid w:val="00FA051A"/>
    <w:rsid w:val="00FB1D12"/>
    <w:rsid w:val="00FF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026D44"/>
  <w15:docId w15:val="{29DC377B-6003-4595-9D23-DFC4D6115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29E9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List1,body 2,Listă paragraf,List Paragraph11,Listă colorată - Accentuare 11,Bullet,Citation List,Forth level"/>
    <w:basedOn w:val="Normal"/>
    <w:link w:val="ListParagraphChar"/>
    <w:uiPriority w:val="34"/>
    <w:qFormat/>
    <w:rsid w:val="00D329E9"/>
    <w:pPr>
      <w:shd w:val="clear" w:color="auto" w:fill="FFFFFF" w:themeFill="background1"/>
      <w:ind w:left="720"/>
      <w:contextualSpacing/>
    </w:pPr>
  </w:style>
  <w:style w:type="character" w:customStyle="1" w:styleId="ListParagraphChar">
    <w:name w:val="List Paragraph Char"/>
    <w:aliases w:val="Normal bullet 2 Char,List Paragraph1 Char,List1 Char,body 2 Char,Listă paragraf Char,List Paragraph11 Char,Listă colorată - Accentuare 11 Char,Bullet Char,Citation List Char,Forth level Char"/>
    <w:link w:val="ListParagraph"/>
    <w:uiPriority w:val="34"/>
    <w:locked/>
    <w:rsid w:val="00D329E9"/>
    <w:rPr>
      <w:rFonts w:ascii="Times New Roman" w:hAnsi="Times New Roman"/>
      <w:sz w:val="24"/>
      <w:shd w:val="clear" w:color="auto" w:fill="FFFFFF" w:themeFill="background1"/>
    </w:rPr>
  </w:style>
  <w:style w:type="table" w:styleId="TableGrid">
    <w:name w:val="Table Grid"/>
    <w:basedOn w:val="TableNormal"/>
    <w:rsid w:val="00D329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2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9E9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stile 1,Footnote1,Reference,Footnote2"/>
    <w:basedOn w:val="Normal"/>
    <w:link w:val="FootnoteTextChar"/>
    <w:rsid w:val="00B1772C"/>
    <w:pPr>
      <w:spacing w:after="0" w:line="240" w:lineRule="auto"/>
    </w:pPr>
    <w:rPr>
      <w:rFonts w:eastAsia="Times New Roman" w:cs="Times New Roman"/>
      <w:sz w:val="20"/>
      <w:szCs w:val="20"/>
      <w:lang w:val="en-GB" w:eastAsia="sk-SK"/>
    </w:rPr>
  </w:style>
  <w:style w:type="character" w:customStyle="1" w:styleId="FootnoteTextChar">
    <w:name w:val="Footnote Text Char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B1772C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paragraph" w:styleId="Header">
    <w:name w:val="header"/>
    <w:aliases w:val=" Char"/>
    <w:basedOn w:val="Normal"/>
    <w:link w:val="HeaderChar"/>
    <w:unhideWhenUsed/>
    <w:rsid w:val="00E77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 Char Char"/>
    <w:basedOn w:val="DefaultParagraphFont"/>
    <w:link w:val="Header"/>
    <w:rsid w:val="00E77C3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77C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C31"/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DefaultParagraphFont"/>
    <w:rsid w:val="0082538B"/>
  </w:style>
  <w:style w:type="table" w:customStyle="1" w:styleId="TableGrid1">
    <w:name w:val="Table Grid1"/>
    <w:basedOn w:val="TableNormal"/>
    <w:next w:val="TableGrid"/>
    <w:rsid w:val="00BB4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50B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0B0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0B0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0B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0B08"/>
    <w:rPr>
      <w:rFonts w:ascii="Times New Roman" w:hAnsi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766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2017-05-04T16:33:00Z</cp:lastPrinted>
  <dcterms:created xsi:type="dcterms:W3CDTF">2022-01-12T08:31:00Z</dcterms:created>
  <dcterms:modified xsi:type="dcterms:W3CDTF">2022-02-16T13:05:00Z</dcterms:modified>
</cp:coreProperties>
</file>