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CF995" w14:textId="4F8B775C" w:rsidR="00ED431E" w:rsidRDefault="00ED431E">
      <w:pPr>
        <w:spacing w:after="0" w:line="259" w:lineRule="auto"/>
        <w:ind w:left="0" w:right="0" w:firstLine="0"/>
        <w:jc w:val="left"/>
      </w:pPr>
    </w:p>
    <w:p w14:paraId="229FCC55" w14:textId="77777777" w:rsidR="00ED431E" w:rsidRDefault="00C0767B">
      <w:pPr>
        <w:pStyle w:val="Heading2"/>
        <w:ind w:left="1499" w:right="0"/>
      </w:pPr>
      <w:r>
        <w:t xml:space="preserve">ORDIN </w:t>
      </w:r>
    </w:p>
    <w:p w14:paraId="676E8E73" w14:textId="77777777" w:rsidR="00ED431E" w:rsidRDefault="00C0767B">
      <w:pPr>
        <w:spacing w:after="0" w:line="259" w:lineRule="auto"/>
        <w:ind w:left="1562" w:right="0" w:firstLine="0"/>
        <w:jc w:val="center"/>
      </w:pPr>
      <w:r>
        <w:t xml:space="preserve"> </w:t>
      </w:r>
    </w:p>
    <w:p w14:paraId="175BCD1D" w14:textId="77777777" w:rsidR="00ED431E" w:rsidRPr="009C6DA3" w:rsidRDefault="00C0767B">
      <w:pPr>
        <w:spacing w:after="1" w:line="258" w:lineRule="auto"/>
        <w:ind w:left="2891" w:right="0"/>
        <w:rPr>
          <w:lang w:val="ro-RO"/>
        </w:rPr>
      </w:pPr>
      <w:r w:rsidRPr="009C6DA3">
        <w:rPr>
          <w:b/>
          <w:lang w:val="ro-RO"/>
        </w:rPr>
        <w:t xml:space="preserve">Nr________/_____________ </w:t>
      </w:r>
    </w:p>
    <w:p w14:paraId="37D88443" w14:textId="77777777" w:rsidR="00ED431E" w:rsidRPr="009C6DA3" w:rsidRDefault="00C0767B">
      <w:pPr>
        <w:spacing w:after="0" w:line="259" w:lineRule="auto"/>
        <w:ind w:left="1562" w:right="0" w:firstLine="0"/>
        <w:jc w:val="center"/>
        <w:rPr>
          <w:lang w:val="ro-RO"/>
        </w:rPr>
      </w:pPr>
      <w:r w:rsidRPr="009C6DA3">
        <w:rPr>
          <w:b/>
          <w:lang w:val="ro-RO"/>
        </w:rPr>
        <w:lastRenderedPageBreak/>
        <w:t xml:space="preserve"> </w:t>
      </w:r>
    </w:p>
    <w:p w14:paraId="0856D70F" w14:textId="77777777" w:rsidR="00ED431E" w:rsidRPr="009C6DA3" w:rsidRDefault="00ED431E">
      <w:pPr>
        <w:spacing w:after="0" w:line="259" w:lineRule="auto"/>
        <w:ind w:left="1562" w:right="0" w:firstLine="0"/>
        <w:jc w:val="center"/>
        <w:rPr>
          <w:lang w:val="ro-RO"/>
        </w:rPr>
      </w:pPr>
    </w:p>
    <w:p w14:paraId="06851054" w14:textId="77777777" w:rsidR="00ED431E" w:rsidRPr="009C6DA3" w:rsidRDefault="00ED431E">
      <w:pPr>
        <w:spacing w:after="0" w:line="259" w:lineRule="auto"/>
        <w:ind w:left="0" w:right="0" w:firstLine="0"/>
        <w:jc w:val="left"/>
        <w:rPr>
          <w:lang w:val="ro-RO"/>
        </w:rPr>
      </w:pPr>
    </w:p>
    <w:p w14:paraId="39D00AA2" w14:textId="77777777" w:rsidR="00ED431E" w:rsidRPr="009C6DA3" w:rsidRDefault="00ED431E">
      <w:pPr>
        <w:rPr>
          <w:lang w:val="ro-RO"/>
        </w:rPr>
        <w:sectPr w:rsidR="00ED431E" w:rsidRPr="009C6DA3" w:rsidSect="00253E29">
          <w:headerReference w:type="default" r:id="rId8"/>
          <w:headerReference w:type="first" r:id="rId9"/>
          <w:footerReference w:type="first" r:id="rId10"/>
          <w:pgSz w:w="11906" w:h="16838"/>
          <w:pgMar w:top="2454" w:right="884" w:bottom="1440" w:left="1702" w:header="720" w:footer="720" w:gutter="0"/>
          <w:cols w:num="2" w:space="720" w:equalWidth="0">
            <w:col w:w="7395" w:space="23"/>
            <w:col w:w="1902"/>
          </w:cols>
          <w:titlePg/>
          <w:docGrid w:linePitch="326"/>
        </w:sectPr>
      </w:pPr>
    </w:p>
    <w:p w14:paraId="4497C31B" w14:textId="77777777" w:rsidR="009E0BDE" w:rsidRDefault="009E0BDE" w:rsidP="009E0BDE">
      <w:pPr>
        <w:spacing w:after="2" w:line="257" w:lineRule="auto"/>
        <w:ind w:left="658" w:right="0" w:hanging="480"/>
        <w:jc w:val="left"/>
        <w:rPr>
          <w:b/>
          <w:i/>
          <w:lang w:val="ro-RO"/>
        </w:rPr>
      </w:pPr>
    </w:p>
    <w:p w14:paraId="6988AFB7" w14:textId="3CE764FF" w:rsidR="00ED431E" w:rsidRPr="009C6DA3" w:rsidRDefault="00C0767B" w:rsidP="009E0BDE">
      <w:pPr>
        <w:spacing w:after="2" w:line="257" w:lineRule="auto"/>
        <w:ind w:left="658" w:right="0" w:hanging="480"/>
        <w:jc w:val="center"/>
        <w:rPr>
          <w:lang w:val="ro-RO"/>
        </w:rPr>
      </w:pPr>
      <w:r w:rsidRPr="009C6DA3">
        <w:rPr>
          <w:b/>
          <w:i/>
          <w:lang w:val="ro-RO"/>
        </w:rPr>
        <w:t xml:space="preserve">pentru modificarea </w:t>
      </w:r>
      <w:r w:rsidR="00EC71BF">
        <w:rPr>
          <w:b/>
          <w:i/>
          <w:lang w:val="ro-RO"/>
        </w:rPr>
        <w:t>ș</w:t>
      </w:r>
      <w:r w:rsidRPr="009C6DA3">
        <w:rPr>
          <w:b/>
          <w:i/>
          <w:lang w:val="ro-RO"/>
        </w:rPr>
        <w:t>i completarea Ghidului Sp</w:t>
      </w:r>
      <w:r w:rsidR="009E0BDE">
        <w:rPr>
          <w:b/>
          <w:i/>
          <w:lang w:val="ro-RO"/>
        </w:rPr>
        <w:t>ecific – Condi</w:t>
      </w:r>
      <w:r w:rsidR="00EC71BF">
        <w:rPr>
          <w:b/>
          <w:i/>
          <w:lang w:val="ro-RO"/>
        </w:rPr>
        <w:t>ț</w:t>
      </w:r>
      <w:r w:rsidR="009E0BDE">
        <w:rPr>
          <w:b/>
          <w:i/>
          <w:lang w:val="ro-RO"/>
        </w:rPr>
        <w:t xml:space="preserve">ii de accesare a </w:t>
      </w:r>
      <w:r w:rsidRPr="009C6DA3">
        <w:rPr>
          <w:b/>
          <w:i/>
          <w:lang w:val="ro-RO"/>
        </w:rPr>
        <w:t>fondurilor europene aferente P</w:t>
      </w:r>
      <w:r w:rsidR="009E0BDE">
        <w:rPr>
          <w:b/>
          <w:i/>
          <w:lang w:val="ro-RO"/>
        </w:rPr>
        <w:t>lanului na</w:t>
      </w:r>
      <w:r w:rsidR="00EC71BF">
        <w:rPr>
          <w:b/>
          <w:i/>
          <w:lang w:val="ro-RO"/>
        </w:rPr>
        <w:t>ț</w:t>
      </w:r>
      <w:r w:rsidR="009E0BDE">
        <w:rPr>
          <w:b/>
          <w:i/>
          <w:lang w:val="ro-RO"/>
        </w:rPr>
        <w:t xml:space="preserve">ional de redresare </w:t>
      </w:r>
      <w:r w:rsidR="00EC71BF">
        <w:rPr>
          <w:b/>
          <w:i/>
          <w:lang w:val="ro-RO"/>
        </w:rPr>
        <w:t>ș</w:t>
      </w:r>
      <w:r w:rsidR="009E0BDE">
        <w:rPr>
          <w:b/>
          <w:i/>
          <w:lang w:val="ro-RO"/>
        </w:rPr>
        <w:t>i rezilien</w:t>
      </w:r>
      <w:r w:rsidR="00EC71BF">
        <w:rPr>
          <w:b/>
          <w:i/>
          <w:lang w:val="ro-RO"/>
        </w:rPr>
        <w:t>ță</w:t>
      </w:r>
      <w:r w:rsidRPr="009C6DA3">
        <w:rPr>
          <w:b/>
          <w:i/>
          <w:lang w:val="ro-RO"/>
        </w:rPr>
        <w:t xml:space="preserve">, </w:t>
      </w:r>
      <w:r w:rsidR="00EC71BF">
        <w:rPr>
          <w:b/>
          <w:i/>
          <w:lang w:val="ro-RO"/>
        </w:rPr>
        <w:t>î</w:t>
      </w:r>
      <w:r w:rsidRPr="009C6DA3">
        <w:rPr>
          <w:b/>
          <w:i/>
          <w:lang w:val="ro-RO"/>
        </w:rPr>
        <w:t xml:space="preserve">n cadrul apelurilor de proiecte PNRR/2022/C10, Componenta 10-Fondul local, aprobat prin </w:t>
      </w:r>
      <w:r w:rsidR="007E69D7" w:rsidRPr="00D359F0">
        <w:rPr>
          <w:b/>
          <w:i/>
          <w:color w:val="auto"/>
          <w:lang w:val="ro-RO"/>
        </w:rPr>
        <w:t>O</w:t>
      </w:r>
      <w:r w:rsidRPr="009C6DA3">
        <w:rPr>
          <w:b/>
          <w:i/>
          <w:lang w:val="ro-RO"/>
        </w:rPr>
        <w:t>rdinul ministrului dezvolt</w:t>
      </w:r>
      <w:r w:rsidR="00EC71BF">
        <w:rPr>
          <w:b/>
          <w:i/>
          <w:lang w:val="ro-RO"/>
        </w:rPr>
        <w:t>ă</w:t>
      </w:r>
      <w:r w:rsidRPr="009C6DA3">
        <w:rPr>
          <w:b/>
          <w:i/>
          <w:lang w:val="ro-RO"/>
        </w:rPr>
        <w:t>rii, lucr</w:t>
      </w:r>
      <w:r w:rsidR="00EC71BF">
        <w:rPr>
          <w:b/>
          <w:i/>
          <w:lang w:val="ro-RO"/>
        </w:rPr>
        <w:t>ă</w:t>
      </w:r>
      <w:r w:rsidRPr="009C6DA3">
        <w:rPr>
          <w:b/>
          <w:i/>
          <w:lang w:val="ro-RO"/>
        </w:rPr>
        <w:t xml:space="preserve">rilor publice </w:t>
      </w:r>
      <w:r w:rsidR="00EC71BF">
        <w:rPr>
          <w:b/>
          <w:i/>
          <w:lang w:val="ro-RO"/>
        </w:rPr>
        <w:t>ș</w:t>
      </w:r>
      <w:r w:rsidRPr="009C6DA3">
        <w:rPr>
          <w:b/>
          <w:i/>
          <w:lang w:val="ro-RO"/>
        </w:rPr>
        <w:t>i administra</w:t>
      </w:r>
      <w:r w:rsidR="00EC71BF">
        <w:rPr>
          <w:b/>
          <w:i/>
          <w:lang w:val="ro-RO"/>
        </w:rPr>
        <w:t>ț</w:t>
      </w:r>
      <w:r w:rsidRPr="009C6DA3">
        <w:rPr>
          <w:b/>
          <w:i/>
          <w:lang w:val="ro-RO"/>
        </w:rPr>
        <w:t>iei nr. 999/2022</w:t>
      </w:r>
    </w:p>
    <w:p w14:paraId="3BC9F3FF" w14:textId="77777777" w:rsidR="00ED431E" w:rsidRPr="009C6DA3" w:rsidRDefault="00C0767B">
      <w:pPr>
        <w:spacing w:after="0" w:line="259" w:lineRule="auto"/>
        <w:ind w:left="0" w:right="0" w:firstLine="0"/>
        <w:jc w:val="left"/>
        <w:rPr>
          <w:lang w:val="ro-RO"/>
        </w:rPr>
      </w:pPr>
      <w:r w:rsidRPr="009C6DA3">
        <w:rPr>
          <w:b/>
          <w:i/>
          <w:lang w:val="ro-RO"/>
        </w:rPr>
        <w:t xml:space="preserve"> </w:t>
      </w:r>
    </w:p>
    <w:p w14:paraId="4DA2426C" w14:textId="77777777" w:rsidR="00ED431E" w:rsidRPr="009C6DA3" w:rsidRDefault="00C0767B">
      <w:pPr>
        <w:spacing w:after="0" w:line="259" w:lineRule="auto"/>
        <w:ind w:left="0" w:right="0" w:firstLine="0"/>
        <w:jc w:val="left"/>
        <w:rPr>
          <w:lang w:val="ro-RO"/>
        </w:rPr>
      </w:pPr>
      <w:r w:rsidRPr="009C6DA3">
        <w:rPr>
          <w:b/>
          <w:i/>
          <w:lang w:val="ro-RO"/>
        </w:rPr>
        <w:t xml:space="preserve"> </w:t>
      </w:r>
    </w:p>
    <w:p w14:paraId="64DAF955" w14:textId="5C69C934" w:rsidR="00ED431E" w:rsidRPr="009C6DA3" w:rsidRDefault="00C0767B">
      <w:pPr>
        <w:spacing w:after="159" w:line="258" w:lineRule="auto"/>
        <w:ind w:left="-15" w:right="0" w:firstLine="708"/>
        <w:rPr>
          <w:lang w:val="ro-RO"/>
        </w:rPr>
      </w:pPr>
      <w:r w:rsidRPr="009C6DA3">
        <w:rPr>
          <w:lang w:val="ro-RO"/>
        </w:rPr>
        <w:t>Av</w:t>
      </w:r>
      <w:r w:rsidR="00EC71BF">
        <w:rPr>
          <w:lang w:val="ro-RO"/>
        </w:rPr>
        <w:t>â</w:t>
      </w:r>
      <w:r w:rsidRPr="009C6DA3">
        <w:rPr>
          <w:lang w:val="ro-RO"/>
        </w:rPr>
        <w:t xml:space="preserve">nd </w:t>
      </w:r>
      <w:r w:rsidR="00EC71BF">
        <w:rPr>
          <w:lang w:val="ro-RO"/>
        </w:rPr>
        <w:t>î</w:t>
      </w:r>
      <w:r w:rsidRPr="009C6DA3">
        <w:rPr>
          <w:lang w:val="ro-RO"/>
        </w:rPr>
        <w:t xml:space="preserve">n vedere prevederile Regulamentului (UE) 2020/2.094 al Consiliului din 14 decembrie 2020 de instituire a unui instrument de redresare al Uniunii Europene pentru a sprijini redresarea </w:t>
      </w:r>
      <w:r w:rsidR="00EC71BF">
        <w:rPr>
          <w:lang w:val="ro-RO"/>
        </w:rPr>
        <w:t>î</w:t>
      </w:r>
      <w:r w:rsidRPr="009C6DA3">
        <w:rPr>
          <w:lang w:val="ro-RO"/>
        </w:rPr>
        <w:t xml:space="preserve">n urma crizei provocate de COVID-19 </w:t>
      </w:r>
      <w:r w:rsidR="00EC71BF">
        <w:rPr>
          <w:lang w:val="ro-RO"/>
        </w:rPr>
        <w:t>ș</w:t>
      </w:r>
      <w:r w:rsidRPr="009C6DA3">
        <w:rPr>
          <w:lang w:val="ro-RO"/>
        </w:rPr>
        <w:t xml:space="preserve">i ale Regulamentului (UE) 2021/241 al Parlamentului European </w:t>
      </w:r>
      <w:r w:rsidR="00EC71BF">
        <w:rPr>
          <w:lang w:val="ro-RO"/>
        </w:rPr>
        <w:t>ș</w:t>
      </w:r>
      <w:r w:rsidRPr="009C6DA3">
        <w:rPr>
          <w:lang w:val="ro-RO"/>
        </w:rPr>
        <w:t xml:space="preserve">i al Consiliului din 12 februarie 2021 de instituire a Mecanismului de redresare </w:t>
      </w:r>
      <w:r w:rsidR="00EC71BF">
        <w:rPr>
          <w:lang w:val="ro-RO"/>
        </w:rPr>
        <w:t>ș</w:t>
      </w:r>
      <w:r w:rsidRPr="009C6DA3">
        <w:rPr>
          <w:lang w:val="ro-RO"/>
        </w:rPr>
        <w:t>i rezilien</w:t>
      </w:r>
      <w:r w:rsidR="00EC71BF">
        <w:rPr>
          <w:lang w:val="ro-RO"/>
        </w:rPr>
        <w:t>ță</w:t>
      </w:r>
      <w:r w:rsidRPr="009C6DA3">
        <w:rPr>
          <w:lang w:val="ro-RO"/>
        </w:rPr>
        <w:t xml:space="preserve">, </w:t>
      </w:r>
    </w:p>
    <w:p w14:paraId="3F9C1263" w14:textId="6508EADC" w:rsidR="00ED431E" w:rsidRPr="00D359F0" w:rsidRDefault="00C0767B">
      <w:pPr>
        <w:spacing w:after="168"/>
        <w:ind w:left="-15" w:right="0" w:firstLine="708"/>
        <w:rPr>
          <w:color w:val="auto"/>
          <w:lang w:val="ro-RO"/>
        </w:rPr>
      </w:pPr>
      <w:r w:rsidRPr="009C6DA3">
        <w:rPr>
          <w:lang w:val="ro-RO"/>
        </w:rPr>
        <w:t>Lu</w:t>
      </w:r>
      <w:r w:rsidR="00EC71BF">
        <w:rPr>
          <w:lang w:val="ro-RO"/>
        </w:rPr>
        <w:t>â</w:t>
      </w:r>
      <w:r w:rsidRPr="009C6DA3">
        <w:rPr>
          <w:lang w:val="ro-RO"/>
        </w:rPr>
        <w:t xml:space="preserve">nd </w:t>
      </w:r>
      <w:r w:rsidR="00EC71BF">
        <w:rPr>
          <w:lang w:val="ro-RO"/>
        </w:rPr>
        <w:t>î</w:t>
      </w:r>
      <w:r w:rsidRPr="009C6DA3">
        <w:rPr>
          <w:lang w:val="ro-RO"/>
        </w:rPr>
        <w:t>n considerare prevederile Ordonan</w:t>
      </w:r>
      <w:r w:rsidR="00EC71BF">
        <w:rPr>
          <w:lang w:val="ro-RO"/>
        </w:rPr>
        <w:t>ț</w:t>
      </w:r>
      <w:r w:rsidRPr="009C6DA3">
        <w:rPr>
          <w:lang w:val="ro-RO"/>
        </w:rPr>
        <w:t>ei de urgen</w:t>
      </w:r>
      <w:r w:rsidR="00EC71BF">
        <w:rPr>
          <w:lang w:val="ro-RO"/>
        </w:rPr>
        <w:t>ță</w:t>
      </w:r>
      <w:r w:rsidRPr="009C6DA3">
        <w:rPr>
          <w:lang w:val="ro-RO"/>
        </w:rPr>
        <w:t xml:space="preserve"> a Guvernului nr. 124/2021 privind stabilirea cadrului institu</w:t>
      </w:r>
      <w:r w:rsidR="00EC71BF">
        <w:rPr>
          <w:lang w:val="ro-RO"/>
        </w:rPr>
        <w:t>ț</w:t>
      </w:r>
      <w:r w:rsidRPr="009C6DA3">
        <w:rPr>
          <w:lang w:val="ro-RO"/>
        </w:rPr>
        <w:t xml:space="preserve">ional </w:t>
      </w:r>
      <w:r w:rsidR="00EC71BF">
        <w:rPr>
          <w:lang w:val="ro-RO"/>
        </w:rPr>
        <w:t>ș</w:t>
      </w:r>
      <w:r w:rsidRPr="009C6DA3">
        <w:rPr>
          <w:lang w:val="ro-RO"/>
        </w:rPr>
        <w:t>i financiar pentru gestionarea fondurilor europene alocate Rom</w:t>
      </w:r>
      <w:r w:rsidR="00EC71BF">
        <w:rPr>
          <w:lang w:val="ro-RO"/>
        </w:rPr>
        <w:t>â</w:t>
      </w:r>
      <w:r w:rsidRPr="009C6DA3">
        <w:rPr>
          <w:lang w:val="ro-RO"/>
        </w:rPr>
        <w:t xml:space="preserve">niei prin Mecanismul de redresare </w:t>
      </w:r>
      <w:r w:rsidR="00EC71BF">
        <w:rPr>
          <w:lang w:val="ro-RO"/>
        </w:rPr>
        <w:t>ș</w:t>
      </w:r>
      <w:r w:rsidRPr="009C6DA3">
        <w:rPr>
          <w:lang w:val="ro-RO"/>
        </w:rPr>
        <w:t>i rezilien</w:t>
      </w:r>
      <w:r w:rsidR="00EC71BF">
        <w:rPr>
          <w:lang w:val="ro-RO"/>
        </w:rPr>
        <w:t>ță</w:t>
      </w:r>
      <w:r w:rsidRPr="009C6DA3">
        <w:rPr>
          <w:lang w:val="ro-RO"/>
        </w:rPr>
        <w:t xml:space="preserve">, precum </w:t>
      </w:r>
      <w:r w:rsidR="00EC71BF">
        <w:rPr>
          <w:lang w:val="ro-RO"/>
        </w:rPr>
        <w:t>ș</w:t>
      </w:r>
      <w:r w:rsidRPr="009C6DA3">
        <w:rPr>
          <w:lang w:val="ro-RO"/>
        </w:rPr>
        <w:t xml:space="preserve">i pentru modificarea </w:t>
      </w:r>
      <w:r w:rsidR="00EC71BF">
        <w:rPr>
          <w:lang w:val="ro-RO"/>
        </w:rPr>
        <w:t>ș</w:t>
      </w:r>
      <w:r w:rsidRPr="009C6DA3">
        <w:rPr>
          <w:lang w:val="ro-RO"/>
        </w:rPr>
        <w:t>i completarea Ordonan</w:t>
      </w:r>
      <w:r w:rsidR="00EC71BF">
        <w:rPr>
          <w:lang w:val="ro-RO"/>
        </w:rPr>
        <w:t>ț</w:t>
      </w:r>
      <w:r w:rsidRPr="009C6DA3">
        <w:rPr>
          <w:lang w:val="ro-RO"/>
        </w:rPr>
        <w:t>ei de urgen</w:t>
      </w:r>
      <w:r w:rsidR="00EC71BF">
        <w:rPr>
          <w:lang w:val="ro-RO"/>
        </w:rPr>
        <w:t>ță</w:t>
      </w:r>
      <w:r w:rsidRPr="009C6DA3">
        <w:rPr>
          <w:lang w:val="ro-RO"/>
        </w:rPr>
        <w:t xml:space="preserve"> a Guvernului nr. 155/2020 privind unele m</w:t>
      </w:r>
      <w:r w:rsidR="00EC71BF">
        <w:rPr>
          <w:lang w:val="ro-RO"/>
        </w:rPr>
        <w:t>ă</w:t>
      </w:r>
      <w:r w:rsidRPr="009C6DA3">
        <w:rPr>
          <w:lang w:val="ro-RO"/>
        </w:rPr>
        <w:t>suri pentru elaborarea Planului na</w:t>
      </w:r>
      <w:r w:rsidR="00EC71BF">
        <w:rPr>
          <w:lang w:val="ro-RO"/>
        </w:rPr>
        <w:t>ț</w:t>
      </w:r>
      <w:r w:rsidRPr="009C6DA3">
        <w:rPr>
          <w:lang w:val="ro-RO"/>
        </w:rPr>
        <w:t xml:space="preserve">ional de redresare </w:t>
      </w:r>
      <w:r w:rsidR="00EC71BF">
        <w:rPr>
          <w:lang w:val="ro-RO"/>
        </w:rPr>
        <w:t>ș</w:t>
      </w:r>
      <w:r w:rsidRPr="009C6DA3">
        <w:rPr>
          <w:lang w:val="ro-RO"/>
        </w:rPr>
        <w:t>i rezilien</w:t>
      </w:r>
      <w:r w:rsidR="00EC71BF">
        <w:rPr>
          <w:lang w:val="ro-RO"/>
        </w:rPr>
        <w:t>ță</w:t>
      </w:r>
      <w:r w:rsidRPr="009C6DA3">
        <w:rPr>
          <w:lang w:val="ro-RO"/>
        </w:rPr>
        <w:t xml:space="preserve"> necesar Rom</w:t>
      </w:r>
      <w:r w:rsidR="00EC71BF">
        <w:rPr>
          <w:lang w:val="ro-RO"/>
        </w:rPr>
        <w:t>â</w:t>
      </w:r>
      <w:r w:rsidRPr="009C6DA3">
        <w:rPr>
          <w:lang w:val="ro-RO"/>
        </w:rPr>
        <w:t xml:space="preserve">niei pentru accesarea de fonduri externe rambursabile </w:t>
      </w:r>
      <w:r w:rsidR="00EC71BF">
        <w:rPr>
          <w:lang w:val="ro-RO"/>
        </w:rPr>
        <w:t>ș</w:t>
      </w:r>
      <w:r w:rsidRPr="009C6DA3">
        <w:rPr>
          <w:lang w:val="ro-RO"/>
        </w:rPr>
        <w:t xml:space="preserve">i nerambursabile </w:t>
      </w:r>
      <w:r w:rsidR="00EC71BF">
        <w:rPr>
          <w:lang w:val="ro-RO"/>
        </w:rPr>
        <w:t>î</w:t>
      </w:r>
      <w:r w:rsidRPr="009C6DA3">
        <w:rPr>
          <w:lang w:val="ro-RO"/>
        </w:rPr>
        <w:t xml:space="preserve">n cadrul Mecanismului de redresare </w:t>
      </w:r>
      <w:r w:rsidR="00EC71BF">
        <w:rPr>
          <w:lang w:val="ro-RO"/>
        </w:rPr>
        <w:t>ș</w:t>
      </w:r>
      <w:r w:rsidRPr="009C6DA3">
        <w:rPr>
          <w:lang w:val="ro-RO"/>
        </w:rPr>
        <w:t>i rezilien</w:t>
      </w:r>
      <w:r w:rsidR="00EC71BF">
        <w:rPr>
          <w:lang w:val="ro-RO"/>
        </w:rPr>
        <w:t>ță</w:t>
      </w:r>
      <w:r w:rsidRPr="00D359F0">
        <w:rPr>
          <w:color w:val="auto"/>
          <w:lang w:val="ro-RO"/>
        </w:rPr>
        <w:t xml:space="preserve">, </w:t>
      </w:r>
      <w:r w:rsidR="00A86F60">
        <w:rPr>
          <w:color w:val="auto"/>
          <w:lang w:val="ro-RO"/>
        </w:rPr>
        <w:t xml:space="preserve">aprobată cu modificări și completări prin Legea nr. 178/2022, </w:t>
      </w:r>
      <w:r w:rsidR="007E69D7" w:rsidRPr="00D359F0">
        <w:rPr>
          <w:color w:val="auto"/>
          <w:lang w:val="ro-RO"/>
        </w:rPr>
        <w:t>cu complet</w:t>
      </w:r>
      <w:r w:rsidR="00EC71BF">
        <w:rPr>
          <w:color w:val="auto"/>
          <w:lang w:val="ro-RO"/>
        </w:rPr>
        <w:t>ă</w:t>
      </w:r>
      <w:r w:rsidR="007E69D7" w:rsidRPr="00D359F0">
        <w:rPr>
          <w:color w:val="auto"/>
          <w:lang w:val="ro-RO"/>
        </w:rPr>
        <w:t>rile ulterioare,</w:t>
      </w:r>
    </w:p>
    <w:p w14:paraId="617A3801" w14:textId="1F843EFE" w:rsidR="00ED431E" w:rsidRPr="009C6DA3" w:rsidRDefault="00EC71BF">
      <w:pPr>
        <w:spacing w:after="168"/>
        <w:ind w:left="-15" w:right="0" w:firstLine="708"/>
        <w:rPr>
          <w:lang w:val="ro-RO"/>
        </w:rPr>
      </w:pPr>
      <w:r>
        <w:rPr>
          <w:lang w:val="ro-RO"/>
        </w:rPr>
        <w:t>Ț</w:t>
      </w:r>
      <w:r w:rsidR="00C0767B" w:rsidRPr="009C6DA3">
        <w:rPr>
          <w:lang w:val="ro-RO"/>
        </w:rPr>
        <w:t>in</w:t>
      </w:r>
      <w:r>
        <w:rPr>
          <w:lang w:val="ro-RO"/>
        </w:rPr>
        <w:t>â</w:t>
      </w:r>
      <w:r w:rsidR="00C0767B" w:rsidRPr="009C6DA3">
        <w:rPr>
          <w:lang w:val="ro-RO"/>
        </w:rPr>
        <w:t xml:space="preserve">nd cont </w:t>
      </w:r>
      <w:r>
        <w:rPr>
          <w:lang w:val="ro-RO"/>
        </w:rPr>
        <w:t>ș</w:t>
      </w:r>
      <w:r w:rsidR="00C0767B" w:rsidRPr="009C6DA3">
        <w:rPr>
          <w:lang w:val="ro-RO"/>
        </w:rPr>
        <w:t>i de prevederile Hot</w:t>
      </w:r>
      <w:r>
        <w:rPr>
          <w:lang w:val="ro-RO"/>
        </w:rPr>
        <w:t>ă</w:t>
      </w:r>
      <w:r w:rsidR="00C0767B" w:rsidRPr="009C6DA3">
        <w:rPr>
          <w:lang w:val="ro-RO"/>
        </w:rPr>
        <w:t>r</w:t>
      </w:r>
      <w:r>
        <w:rPr>
          <w:lang w:val="ro-RO"/>
        </w:rPr>
        <w:t>â</w:t>
      </w:r>
      <w:r w:rsidR="00C0767B" w:rsidRPr="009C6DA3">
        <w:rPr>
          <w:lang w:val="ro-RO"/>
        </w:rPr>
        <w:t>rii Guvernului nr. 209/2022 pentru aprobarea Normelor metodologice de aplicare a prevederilor Ordonan</w:t>
      </w:r>
      <w:r>
        <w:rPr>
          <w:lang w:val="ro-RO"/>
        </w:rPr>
        <w:t>ț</w:t>
      </w:r>
      <w:r w:rsidR="00C0767B" w:rsidRPr="009C6DA3">
        <w:rPr>
          <w:lang w:val="ro-RO"/>
        </w:rPr>
        <w:t>ei de urgen</w:t>
      </w:r>
      <w:r>
        <w:rPr>
          <w:lang w:val="ro-RO"/>
        </w:rPr>
        <w:t>ță</w:t>
      </w:r>
      <w:r w:rsidR="00C0767B" w:rsidRPr="009C6DA3">
        <w:rPr>
          <w:lang w:val="ro-RO"/>
        </w:rPr>
        <w:t xml:space="preserve"> a Guvernului nr. 124/2021 privind stabilirea cadrului institu</w:t>
      </w:r>
      <w:r>
        <w:rPr>
          <w:lang w:val="ro-RO"/>
        </w:rPr>
        <w:t>ț</w:t>
      </w:r>
      <w:r w:rsidR="00C0767B" w:rsidRPr="009C6DA3">
        <w:rPr>
          <w:lang w:val="ro-RO"/>
        </w:rPr>
        <w:t xml:space="preserve">ional </w:t>
      </w:r>
      <w:r>
        <w:rPr>
          <w:lang w:val="ro-RO"/>
        </w:rPr>
        <w:t>ș</w:t>
      </w:r>
      <w:r w:rsidR="00C0767B" w:rsidRPr="009C6DA3">
        <w:rPr>
          <w:lang w:val="ro-RO"/>
        </w:rPr>
        <w:t>i financiar pentru gestionarea fondurilor europene alocate Rom</w:t>
      </w:r>
      <w:r>
        <w:rPr>
          <w:lang w:val="ro-RO"/>
        </w:rPr>
        <w:t>â</w:t>
      </w:r>
      <w:r w:rsidR="00C0767B" w:rsidRPr="009C6DA3">
        <w:rPr>
          <w:lang w:val="ro-RO"/>
        </w:rPr>
        <w:t xml:space="preserve">niei prin Mecanismul de redresare </w:t>
      </w:r>
      <w:r>
        <w:rPr>
          <w:lang w:val="ro-RO"/>
        </w:rPr>
        <w:t>ș</w:t>
      </w:r>
      <w:r w:rsidR="00C0767B" w:rsidRPr="009C6DA3">
        <w:rPr>
          <w:lang w:val="ro-RO"/>
        </w:rPr>
        <w:t>i rezilien</w:t>
      </w:r>
      <w:r>
        <w:rPr>
          <w:lang w:val="ro-RO"/>
        </w:rPr>
        <w:t>ță</w:t>
      </w:r>
      <w:r w:rsidR="00C0767B" w:rsidRPr="009C6DA3">
        <w:rPr>
          <w:lang w:val="ro-RO"/>
        </w:rPr>
        <w:t xml:space="preserve">, precum </w:t>
      </w:r>
      <w:r>
        <w:rPr>
          <w:lang w:val="ro-RO"/>
        </w:rPr>
        <w:t>ș</w:t>
      </w:r>
      <w:r w:rsidR="00C0767B" w:rsidRPr="009C6DA3">
        <w:rPr>
          <w:lang w:val="ro-RO"/>
        </w:rPr>
        <w:t xml:space="preserve">i pentru modificarea </w:t>
      </w:r>
      <w:r>
        <w:rPr>
          <w:lang w:val="ro-RO"/>
        </w:rPr>
        <w:t>ș</w:t>
      </w:r>
      <w:r w:rsidR="00C0767B" w:rsidRPr="009C6DA3">
        <w:rPr>
          <w:lang w:val="ro-RO"/>
        </w:rPr>
        <w:t>i completarea Ordonan</w:t>
      </w:r>
      <w:r>
        <w:rPr>
          <w:lang w:val="ro-RO"/>
        </w:rPr>
        <w:t>ț</w:t>
      </w:r>
      <w:r w:rsidR="00C0767B" w:rsidRPr="009C6DA3">
        <w:rPr>
          <w:lang w:val="ro-RO"/>
        </w:rPr>
        <w:t>ei de urgen</w:t>
      </w:r>
      <w:r>
        <w:rPr>
          <w:lang w:val="ro-RO"/>
        </w:rPr>
        <w:t>ță</w:t>
      </w:r>
      <w:r w:rsidR="00C0767B" w:rsidRPr="009C6DA3">
        <w:rPr>
          <w:lang w:val="ro-RO"/>
        </w:rPr>
        <w:t xml:space="preserve"> a Guvernului nr. 155/2020 privind unele m</w:t>
      </w:r>
      <w:r>
        <w:rPr>
          <w:lang w:val="ro-RO"/>
        </w:rPr>
        <w:t>ă</w:t>
      </w:r>
      <w:r w:rsidR="00C0767B" w:rsidRPr="009C6DA3">
        <w:rPr>
          <w:lang w:val="ro-RO"/>
        </w:rPr>
        <w:t>suri pentru elaborarea Planului na</w:t>
      </w:r>
      <w:r>
        <w:rPr>
          <w:lang w:val="ro-RO"/>
        </w:rPr>
        <w:t>ț</w:t>
      </w:r>
      <w:r w:rsidR="00C0767B" w:rsidRPr="009C6DA3">
        <w:rPr>
          <w:lang w:val="ro-RO"/>
        </w:rPr>
        <w:t xml:space="preserve">ional de redresare </w:t>
      </w:r>
      <w:r>
        <w:rPr>
          <w:lang w:val="ro-RO"/>
        </w:rPr>
        <w:t>ș</w:t>
      </w:r>
      <w:r w:rsidR="00C0767B" w:rsidRPr="009C6DA3">
        <w:rPr>
          <w:lang w:val="ro-RO"/>
        </w:rPr>
        <w:t>i rezilien</w:t>
      </w:r>
      <w:r>
        <w:rPr>
          <w:lang w:val="ro-RO"/>
        </w:rPr>
        <w:t>ță</w:t>
      </w:r>
      <w:r w:rsidR="00C0767B" w:rsidRPr="009C6DA3">
        <w:rPr>
          <w:lang w:val="ro-RO"/>
        </w:rPr>
        <w:t xml:space="preserve"> necesar Rom</w:t>
      </w:r>
      <w:r>
        <w:rPr>
          <w:lang w:val="ro-RO"/>
        </w:rPr>
        <w:t>â</w:t>
      </w:r>
      <w:r w:rsidR="00C0767B" w:rsidRPr="009C6DA3">
        <w:rPr>
          <w:lang w:val="ro-RO"/>
        </w:rPr>
        <w:t xml:space="preserve">niei pentru accesarea de fonduri externe rambursabile </w:t>
      </w:r>
      <w:r>
        <w:rPr>
          <w:lang w:val="ro-RO"/>
        </w:rPr>
        <w:t>ș</w:t>
      </w:r>
      <w:r w:rsidR="00C0767B" w:rsidRPr="009C6DA3">
        <w:rPr>
          <w:lang w:val="ro-RO"/>
        </w:rPr>
        <w:t xml:space="preserve">i nerambursabile </w:t>
      </w:r>
      <w:r>
        <w:rPr>
          <w:lang w:val="ro-RO"/>
        </w:rPr>
        <w:t>î</w:t>
      </w:r>
      <w:r w:rsidR="00C0767B" w:rsidRPr="009C6DA3">
        <w:rPr>
          <w:lang w:val="ro-RO"/>
        </w:rPr>
        <w:t xml:space="preserve">n cadrul Mecanismului de redresare </w:t>
      </w:r>
      <w:r>
        <w:rPr>
          <w:lang w:val="ro-RO"/>
        </w:rPr>
        <w:t>ș</w:t>
      </w:r>
      <w:r w:rsidR="00C0767B" w:rsidRPr="009C6DA3">
        <w:rPr>
          <w:lang w:val="ro-RO"/>
        </w:rPr>
        <w:t>i rezilien</w:t>
      </w:r>
      <w:r>
        <w:rPr>
          <w:lang w:val="ro-RO"/>
        </w:rPr>
        <w:t>ță</w:t>
      </w:r>
      <w:r w:rsidR="00C0767B" w:rsidRPr="009C6DA3">
        <w:rPr>
          <w:lang w:val="ro-RO"/>
        </w:rPr>
        <w:t xml:space="preserve">, </w:t>
      </w:r>
    </w:p>
    <w:p w14:paraId="28C3689D" w14:textId="56C282D7" w:rsidR="00ED431E" w:rsidRPr="009C6DA3" w:rsidRDefault="00C0767B">
      <w:pPr>
        <w:spacing w:after="187"/>
        <w:ind w:left="-15" w:right="0" w:firstLine="708"/>
        <w:rPr>
          <w:lang w:val="ro-RO"/>
        </w:rPr>
      </w:pPr>
      <w:r w:rsidRPr="009C6DA3">
        <w:rPr>
          <w:lang w:val="ro-RO"/>
        </w:rPr>
        <w:t>Av</w:t>
      </w:r>
      <w:r w:rsidR="00EC71BF">
        <w:rPr>
          <w:lang w:val="ro-RO"/>
        </w:rPr>
        <w:t>â</w:t>
      </w:r>
      <w:r w:rsidRPr="009C6DA3">
        <w:rPr>
          <w:lang w:val="ro-RO"/>
        </w:rPr>
        <w:t xml:space="preserve">nd </w:t>
      </w:r>
      <w:r w:rsidR="00EC71BF">
        <w:rPr>
          <w:lang w:val="ro-RO"/>
        </w:rPr>
        <w:t>î</w:t>
      </w:r>
      <w:r w:rsidRPr="009C6DA3">
        <w:rPr>
          <w:lang w:val="ro-RO"/>
        </w:rPr>
        <w:t xml:space="preserve">n vedere referatul de aprobare nr. </w:t>
      </w:r>
      <w:r w:rsidR="003800A9">
        <w:rPr>
          <w:lang w:val="ro-RO"/>
        </w:rPr>
        <w:t>112086</w:t>
      </w:r>
      <w:r w:rsidRPr="009C6DA3">
        <w:rPr>
          <w:lang w:val="ro-RO"/>
        </w:rPr>
        <w:t xml:space="preserve"> din data de </w:t>
      </w:r>
      <w:r w:rsidR="003800A9">
        <w:rPr>
          <w:lang w:val="ro-RO"/>
        </w:rPr>
        <w:t>03.10.2022</w:t>
      </w:r>
      <w:r w:rsidRPr="009C6DA3">
        <w:rPr>
          <w:lang w:val="ro-RO"/>
        </w:rPr>
        <w:t xml:space="preserve"> al Direc</w:t>
      </w:r>
      <w:r w:rsidR="00EC71BF">
        <w:rPr>
          <w:lang w:val="ro-RO"/>
        </w:rPr>
        <w:t>ț</w:t>
      </w:r>
      <w:r w:rsidRPr="009C6DA3">
        <w:rPr>
          <w:lang w:val="ro-RO"/>
        </w:rPr>
        <w:t>iei Generale Implementare Plan Na</w:t>
      </w:r>
      <w:r w:rsidR="00EC71BF">
        <w:rPr>
          <w:lang w:val="ro-RO"/>
        </w:rPr>
        <w:t>ț</w:t>
      </w:r>
      <w:r w:rsidRPr="009C6DA3">
        <w:rPr>
          <w:lang w:val="ro-RO"/>
        </w:rPr>
        <w:t xml:space="preserve">ional de Redresare </w:t>
      </w:r>
      <w:r w:rsidR="00EC71BF">
        <w:rPr>
          <w:lang w:val="ro-RO"/>
        </w:rPr>
        <w:t>ș</w:t>
      </w:r>
      <w:r w:rsidRPr="009C6DA3">
        <w:rPr>
          <w:lang w:val="ro-RO"/>
        </w:rPr>
        <w:t>i Rezilien</w:t>
      </w:r>
      <w:r w:rsidR="00EC71BF">
        <w:rPr>
          <w:lang w:val="ro-RO"/>
        </w:rPr>
        <w:t>ță</w:t>
      </w:r>
      <w:r w:rsidRPr="009C6DA3">
        <w:rPr>
          <w:lang w:val="ro-RO"/>
        </w:rPr>
        <w:t xml:space="preserve">, </w:t>
      </w:r>
      <w:r w:rsidR="00EC71BF">
        <w:rPr>
          <w:lang w:val="ro-RO"/>
        </w:rPr>
        <w:t>ș</w:t>
      </w:r>
      <w:r w:rsidRPr="009C6DA3">
        <w:rPr>
          <w:lang w:val="ro-RO"/>
        </w:rPr>
        <w:t>i avizul Ministerului Investi</w:t>
      </w:r>
      <w:r w:rsidR="00EC71BF">
        <w:rPr>
          <w:lang w:val="ro-RO"/>
        </w:rPr>
        <w:t>ț</w:t>
      </w:r>
      <w:r w:rsidRPr="009C6DA3">
        <w:rPr>
          <w:lang w:val="ro-RO"/>
        </w:rPr>
        <w:t xml:space="preserve">iilor </w:t>
      </w:r>
      <w:r w:rsidR="00EC71BF">
        <w:rPr>
          <w:lang w:val="ro-RO"/>
        </w:rPr>
        <w:t>ș</w:t>
      </w:r>
      <w:r w:rsidRPr="009C6DA3">
        <w:rPr>
          <w:lang w:val="ro-RO"/>
        </w:rPr>
        <w:t xml:space="preserve">i Proiectelor Europene nr. </w:t>
      </w:r>
      <w:r w:rsidR="003800A9">
        <w:rPr>
          <w:lang w:val="ro-RO"/>
        </w:rPr>
        <w:t>112953</w:t>
      </w:r>
      <w:r w:rsidRPr="009C6DA3">
        <w:rPr>
          <w:lang w:val="ro-RO"/>
        </w:rPr>
        <w:t xml:space="preserve"> din data de </w:t>
      </w:r>
      <w:r w:rsidR="003800A9">
        <w:rPr>
          <w:lang w:val="ro-RO"/>
        </w:rPr>
        <w:t>03.10.2022</w:t>
      </w:r>
      <w:r w:rsidRPr="009C6DA3">
        <w:rPr>
          <w:lang w:val="ro-RO"/>
        </w:rPr>
        <w:t xml:space="preserve">, </w:t>
      </w:r>
    </w:p>
    <w:p w14:paraId="6B91183D" w14:textId="77777777" w:rsidR="00ED431E" w:rsidRPr="009C6DA3" w:rsidRDefault="00C0767B" w:rsidP="008935F9">
      <w:pPr>
        <w:tabs>
          <w:tab w:val="center" w:pos="427"/>
          <w:tab w:val="right" w:pos="9075"/>
        </w:tabs>
        <w:ind w:left="-15" w:right="0" w:firstLine="0"/>
        <w:jc w:val="left"/>
        <w:rPr>
          <w:lang w:val="ro-RO"/>
        </w:rPr>
      </w:pPr>
      <w:r w:rsidRPr="009C6DA3">
        <w:rPr>
          <w:lang w:val="ro-RO"/>
        </w:rPr>
        <w:t xml:space="preserve"> </w:t>
      </w:r>
      <w:r w:rsidRPr="009C6DA3">
        <w:rPr>
          <w:lang w:val="ro-RO"/>
        </w:rPr>
        <w:tab/>
        <w:t xml:space="preserve"> </w:t>
      </w:r>
      <w:r w:rsidRPr="009C6DA3">
        <w:rPr>
          <w:lang w:val="ro-RO"/>
        </w:rPr>
        <w:tab/>
      </w:r>
    </w:p>
    <w:p w14:paraId="385BC7C2" w14:textId="63293206" w:rsidR="00ED431E" w:rsidRPr="009C6DA3" w:rsidRDefault="00EC71BF">
      <w:pPr>
        <w:spacing w:after="229"/>
        <w:ind w:left="-15" w:right="0" w:firstLine="708"/>
        <w:rPr>
          <w:lang w:val="ro-RO"/>
        </w:rPr>
      </w:pPr>
      <w:r>
        <w:rPr>
          <w:lang w:val="ro-RO"/>
        </w:rPr>
        <w:t>Î</w:t>
      </w:r>
      <w:r w:rsidR="00C0767B" w:rsidRPr="009C6DA3">
        <w:rPr>
          <w:lang w:val="ro-RO"/>
        </w:rPr>
        <w:t>n temeiul art. 12 alin. (6) din Hot</w:t>
      </w:r>
      <w:r>
        <w:rPr>
          <w:lang w:val="ro-RO"/>
        </w:rPr>
        <w:t>ă</w:t>
      </w:r>
      <w:r w:rsidR="00C0767B" w:rsidRPr="009C6DA3">
        <w:rPr>
          <w:lang w:val="ro-RO"/>
        </w:rPr>
        <w:t>r</w:t>
      </w:r>
      <w:r>
        <w:rPr>
          <w:lang w:val="ro-RO"/>
        </w:rPr>
        <w:t>â</w:t>
      </w:r>
      <w:r w:rsidR="00C0767B" w:rsidRPr="009C6DA3">
        <w:rPr>
          <w:lang w:val="ro-RO"/>
        </w:rPr>
        <w:t xml:space="preserve">rea Guvernului nr. 477/2020 privind organizarea </w:t>
      </w:r>
      <w:r>
        <w:rPr>
          <w:lang w:val="ro-RO"/>
        </w:rPr>
        <w:t>ș</w:t>
      </w:r>
      <w:r w:rsidR="00C0767B" w:rsidRPr="009C6DA3">
        <w:rPr>
          <w:lang w:val="ro-RO"/>
        </w:rPr>
        <w:t>i func</w:t>
      </w:r>
      <w:r>
        <w:rPr>
          <w:lang w:val="ro-RO"/>
        </w:rPr>
        <w:t>ț</w:t>
      </w:r>
      <w:r w:rsidR="00C0767B" w:rsidRPr="009C6DA3">
        <w:rPr>
          <w:lang w:val="ro-RO"/>
        </w:rPr>
        <w:t>ionarea Ministerului Dezvolt</w:t>
      </w:r>
      <w:r>
        <w:rPr>
          <w:lang w:val="ro-RO"/>
        </w:rPr>
        <w:t>ă</w:t>
      </w:r>
      <w:r w:rsidR="00C0767B" w:rsidRPr="009C6DA3">
        <w:rPr>
          <w:lang w:val="ro-RO"/>
        </w:rPr>
        <w:t>rii, Lucr</w:t>
      </w:r>
      <w:r>
        <w:rPr>
          <w:lang w:val="ro-RO"/>
        </w:rPr>
        <w:t>ă</w:t>
      </w:r>
      <w:r w:rsidR="00C0767B" w:rsidRPr="009C6DA3">
        <w:rPr>
          <w:lang w:val="ro-RO"/>
        </w:rPr>
        <w:t xml:space="preserve">rilor Publice </w:t>
      </w:r>
      <w:r>
        <w:rPr>
          <w:lang w:val="ro-RO"/>
        </w:rPr>
        <w:t>ș</w:t>
      </w:r>
      <w:r w:rsidR="00C0767B" w:rsidRPr="009C6DA3">
        <w:rPr>
          <w:lang w:val="ro-RO"/>
        </w:rPr>
        <w:t>i Administra</w:t>
      </w:r>
      <w:r>
        <w:rPr>
          <w:lang w:val="ro-RO"/>
        </w:rPr>
        <w:t>ț</w:t>
      </w:r>
      <w:r w:rsidR="00C0767B" w:rsidRPr="009C6DA3">
        <w:rPr>
          <w:lang w:val="ro-RO"/>
        </w:rPr>
        <w:t>iei, cu modific</w:t>
      </w:r>
      <w:r>
        <w:rPr>
          <w:lang w:val="ro-RO"/>
        </w:rPr>
        <w:t>ă</w:t>
      </w:r>
      <w:r w:rsidR="00C0767B" w:rsidRPr="009C6DA3">
        <w:rPr>
          <w:lang w:val="ro-RO"/>
        </w:rPr>
        <w:t xml:space="preserve">rile </w:t>
      </w:r>
      <w:r>
        <w:rPr>
          <w:lang w:val="ro-RO"/>
        </w:rPr>
        <w:t>ș</w:t>
      </w:r>
      <w:r w:rsidR="00C0767B" w:rsidRPr="009C6DA3">
        <w:rPr>
          <w:lang w:val="ro-RO"/>
        </w:rPr>
        <w:t>i complet</w:t>
      </w:r>
      <w:r>
        <w:rPr>
          <w:lang w:val="ro-RO"/>
        </w:rPr>
        <w:t>ă</w:t>
      </w:r>
      <w:r w:rsidR="00C0767B" w:rsidRPr="009C6DA3">
        <w:rPr>
          <w:lang w:val="ro-RO"/>
        </w:rPr>
        <w:t xml:space="preserve">rile ulterioare, </w:t>
      </w:r>
    </w:p>
    <w:p w14:paraId="340B3106" w14:textId="16BD290A" w:rsidR="00ED431E" w:rsidRDefault="00C0767B">
      <w:pPr>
        <w:spacing w:after="0" w:line="259" w:lineRule="auto"/>
        <w:ind w:left="0" w:right="0" w:firstLine="0"/>
        <w:jc w:val="left"/>
        <w:rPr>
          <w:b/>
          <w:lang w:val="ro-RO"/>
        </w:rPr>
      </w:pPr>
      <w:r w:rsidRPr="009C6DA3">
        <w:rPr>
          <w:b/>
          <w:lang w:val="ro-RO"/>
        </w:rPr>
        <w:t xml:space="preserve"> </w:t>
      </w:r>
    </w:p>
    <w:p w14:paraId="71DC19AE" w14:textId="77777777" w:rsidR="003800A9" w:rsidRPr="009C6DA3" w:rsidRDefault="003800A9">
      <w:pPr>
        <w:spacing w:after="0" w:line="259" w:lineRule="auto"/>
        <w:ind w:left="0" w:right="0" w:firstLine="0"/>
        <w:jc w:val="left"/>
        <w:rPr>
          <w:lang w:val="ro-RO"/>
        </w:rPr>
      </w:pPr>
    </w:p>
    <w:p w14:paraId="2C647AF6" w14:textId="1E109EC5" w:rsidR="00ED431E" w:rsidRPr="009C6DA3" w:rsidRDefault="00C0767B">
      <w:pPr>
        <w:spacing w:after="0" w:line="259" w:lineRule="auto"/>
        <w:ind w:right="9"/>
        <w:jc w:val="center"/>
        <w:rPr>
          <w:lang w:val="ro-RO"/>
        </w:rPr>
      </w:pPr>
      <w:r w:rsidRPr="009C6DA3">
        <w:rPr>
          <w:b/>
          <w:lang w:val="ro-RO"/>
        </w:rPr>
        <w:t>MINISTRUL DEZVOLT</w:t>
      </w:r>
      <w:r w:rsidR="00EC71BF">
        <w:rPr>
          <w:b/>
          <w:lang w:val="ro-RO"/>
        </w:rPr>
        <w:t>Ă</w:t>
      </w:r>
      <w:r w:rsidRPr="009C6DA3">
        <w:rPr>
          <w:b/>
          <w:lang w:val="ro-RO"/>
        </w:rPr>
        <w:t>RII, LUCR</w:t>
      </w:r>
      <w:r w:rsidR="00EC71BF">
        <w:rPr>
          <w:b/>
          <w:lang w:val="ro-RO"/>
        </w:rPr>
        <w:t>Ă</w:t>
      </w:r>
      <w:r w:rsidRPr="009C6DA3">
        <w:rPr>
          <w:b/>
          <w:lang w:val="ro-RO"/>
        </w:rPr>
        <w:t xml:space="preserve">RILOR PUBLICE </w:t>
      </w:r>
      <w:r w:rsidR="00EC71BF">
        <w:rPr>
          <w:b/>
          <w:lang w:val="ro-RO"/>
        </w:rPr>
        <w:t>Ș</w:t>
      </w:r>
      <w:r w:rsidRPr="009C6DA3">
        <w:rPr>
          <w:b/>
          <w:lang w:val="ro-RO"/>
        </w:rPr>
        <w:t>I ADMINISTRA</w:t>
      </w:r>
      <w:r w:rsidR="00EC71BF">
        <w:rPr>
          <w:b/>
          <w:lang w:val="ro-RO"/>
        </w:rPr>
        <w:t>Ț</w:t>
      </w:r>
      <w:r w:rsidRPr="009C6DA3">
        <w:rPr>
          <w:b/>
          <w:lang w:val="ro-RO"/>
        </w:rPr>
        <w:t xml:space="preserve">IEI </w:t>
      </w:r>
    </w:p>
    <w:p w14:paraId="25CE09A8" w14:textId="77777777" w:rsidR="00ED431E" w:rsidRPr="009C6DA3" w:rsidRDefault="00C0767B">
      <w:pPr>
        <w:spacing w:after="0" w:line="259" w:lineRule="auto"/>
        <w:ind w:left="70" w:right="0" w:firstLine="0"/>
        <w:jc w:val="center"/>
        <w:rPr>
          <w:lang w:val="ro-RO"/>
        </w:rPr>
      </w:pPr>
      <w:r w:rsidRPr="009C6DA3">
        <w:rPr>
          <w:b/>
          <w:lang w:val="ro-RO"/>
        </w:rPr>
        <w:t xml:space="preserve"> </w:t>
      </w:r>
    </w:p>
    <w:p w14:paraId="6C554726" w14:textId="6DB735F4" w:rsidR="00ED431E" w:rsidRPr="009C6DA3" w:rsidRDefault="00C0767B">
      <w:pPr>
        <w:pStyle w:val="Heading2"/>
        <w:ind w:right="4"/>
        <w:rPr>
          <w:lang w:val="ro-RO"/>
        </w:rPr>
      </w:pPr>
      <w:r w:rsidRPr="009C6DA3">
        <w:rPr>
          <w:lang w:val="ro-RO"/>
        </w:rPr>
        <w:t>emite urm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torul </w:t>
      </w:r>
    </w:p>
    <w:p w14:paraId="1E9763D5" w14:textId="77777777" w:rsidR="00ED431E" w:rsidRPr="009C6DA3" w:rsidRDefault="00C0767B">
      <w:pPr>
        <w:spacing w:after="0" w:line="259" w:lineRule="auto"/>
        <w:ind w:left="70" w:right="0" w:firstLine="0"/>
        <w:jc w:val="center"/>
        <w:rPr>
          <w:lang w:val="ro-RO"/>
        </w:rPr>
      </w:pPr>
      <w:r w:rsidRPr="009C6DA3">
        <w:rPr>
          <w:b/>
          <w:lang w:val="ro-RO"/>
        </w:rPr>
        <w:t xml:space="preserve"> </w:t>
      </w:r>
    </w:p>
    <w:p w14:paraId="30DDB2EE" w14:textId="77777777" w:rsidR="00ED431E" w:rsidRPr="009C6DA3" w:rsidRDefault="00C0767B">
      <w:pPr>
        <w:spacing w:after="0" w:line="259" w:lineRule="auto"/>
        <w:ind w:left="1499" w:right="1494"/>
        <w:jc w:val="center"/>
        <w:rPr>
          <w:lang w:val="ro-RO"/>
        </w:rPr>
      </w:pPr>
      <w:r w:rsidRPr="009C6DA3">
        <w:rPr>
          <w:b/>
          <w:lang w:val="ro-RO"/>
        </w:rPr>
        <w:t xml:space="preserve">ORDIN: </w:t>
      </w:r>
    </w:p>
    <w:p w14:paraId="4426120D" w14:textId="77777777" w:rsidR="00ED431E" w:rsidRPr="009C6DA3" w:rsidRDefault="00C0767B">
      <w:pPr>
        <w:spacing w:after="0" w:line="259" w:lineRule="auto"/>
        <w:ind w:left="0" w:right="0" w:firstLine="0"/>
        <w:jc w:val="left"/>
        <w:rPr>
          <w:lang w:val="ro-RO"/>
        </w:rPr>
      </w:pPr>
      <w:r w:rsidRPr="009C6DA3">
        <w:rPr>
          <w:b/>
          <w:lang w:val="ro-RO"/>
        </w:rPr>
        <w:t xml:space="preserve"> </w:t>
      </w:r>
    </w:p>
    <w:p w14:paraId="2EBECF8D" w14:textId="49067573" w:rsidR="00ED431E" w:rsidRPr="009C6DA3" w:rsidRDefault="00C0767B" w:rsidP="00273B42">
      <w:pPr>
        <w:spacing w:after="0" w:line="259" w:lineRule="auto"/>
        <w:ind w:left="0" w:right="0" w:firstLine="0"/>
        <w:rPr>
          <w:lang w:val="ro-RO"/>
        </w:rPr>
      </w:pPr>
      <w:r w:rsidRPr="009C6DA3">
        <w:rPr>
          <w:b/>
          <w:lang w:val="ro-RO"/>
        </w:rPr>
        <w:t>Art. I.</w:t>
      </w:r>
      <w:r w:rsidRPr="009C6DA3">
        <w:rPr>
          <w:lang w:val="ro-RO"/>
        </w:rPr>
        <w:t xml:space="preserve"> – </w:t>
      </w:r>
      <w:r w:rsidR="009E165B">
        <w:rPr>
          <w:lang w:val="ro-RO"/>
        </w:rPr>
        <w:t>Ghidul</w:t>
      </w:r>
      <w:r w:rsidRPr="009C6DA3">
        <w:rPr>
          <w:lang w:val="ro-RO"/>
        </w:rPr>
        <w:t xml:space="preserve"> Specific – </w:t>
      </w:r>
      <w:r w:rsidRPr="009C6DA3">
        <w:rPr>
          <w:i/>
          <w:lang w:val="ro-RO"/>
        </w:rPr>
        <w:t>Condi</w:t>
      </w:r>
      <w:r w:rsidR="00EC71BF">
        <w:rPr>
          <w:i/>
          <w:lang w:val="ro-RO"/>
        </w:rPr>
        <w:t>ț</w:t>
      </w:r>
      <w:r w:rsidRPr="009C6DA3">
        <w:rPr>
          <w:i/>
          <w:lang w:val="ro-RO"/>
        </w:rPr>
        <w:t xml:space="preserve">ii de accesare </w:t>
      </w:r>
      <w:r w:rsidR="009E0BDE">
        <w:rPr>
          <w:i/>
          <w:lang w:val="ro-RO"/>
        </w:rPr>
        <w:t xml:space="preserve">a fondurilor europene aferente </w:t>
      </w:r>
      <w:r w:rsidR="009E0BDE" w:rsidRPr="009E0BDE">
        <w:rPr>
          <w:i/>
          <w:lang w:val="ro-RO"/>
        </w:rPr>
        <w:t>Planului na</w:t>
      </w:r>
      <w:r w:rsidR="00EC71BF">
        <w:rPr>
          <w:i/>
          <w:lang w:val="ro-RO"/>
        </w:rPr>
        <w:t>ț</w:t>
      </w:r>
      <w:r w:rsidR="009E0BDE" w:rsidRPr="009E0BDE">
        <w:rPr>
          <w:i/>
          <w:lang w:val="ro-RO"/>
        </w:rPr>
        <w:t xml:space="preserve">ional de redresare </w:t>
      </w:r>
      <w:r w:rsidR="00EC71BF">
        <w:rPr>
          <w:i/>
          <w:lang w:val="ro-RO"/>
        </w:rPr>
        <w:t>ș</w:t>
      </w:r>
      <w:r w:rsidR="009E0BDE" w:rsidRPr="009E0BDE">
        <w:rPr>
          <w:i/>
          <w:lang w:val="ro-RO"/>
        </w:rPr>
        <w:t>i rezilien</w:t>
      </w:r>
      <w:r w:rsidR="00EC71BF">
        <w:rPr>
          <w:i/>
          <w:lang w:val="ro-RO"/>
        </w:rPr>
        <w:t>ță</w:t>
      </w:r>
      <w:r w:rsidRPr="009C6DA3">
        <w:rPr>
          <w:i/>
          <w:lang w:val="ro-RO"/>
        </w:rPr>
        <w:t xml:space="preserve">, </w:t>
      </w:r>
      <w:r w:rsidR="00EC71BF">
        <w:rPr>
          <w:i/>
          <w:lang w:val="ro-RO"/>
        </w:rPr>
        <w:t>î</w:t>
      </w:r>
      <w:r w:rsidRPr="009C6DA3">
        <w:rPr>
          <w:i/>
          <w:lang w:val="ro-RO"/>
        </w:rPr>
        <w:t>n cadrul apelurilor de proiecte PNRR/2022/C10, Componenta 10-Fondul local</w:t>
      </w:r>
      <w:r w:rsidRPr="009C6DA3">
        <w:rPr>
          <w:lang w:val="ro-RO"/>
        </w:rPr>
        <w:t xml:space="preserve">, aprobat prin </w:t>
      </w:r>
      <w:r w:rsidR="007E69D7" w:rsidRPr="001E0B1F">
        <w:rPr>
          <w:color w:val="auto"/>
          <w:lang w:val="ro-RO"/>
        </w:rPr>
        <w:t>O</w:t>
      </w:r>
      <w:r w:rsidRPr="009C6DA3">
        <w:rPr>
          <w:lang w:val="ro-RO"/>
        </w:rPr>
        <w:t>rdinul ministrului dezvolt</w:t>
      </w:r>
      <w:r w:rsidR="00EC71BF">
        <w:rPr>
          <w:lang w:val="ro-RO"/>
        </w:rPr>
        <w:t>ă</w:t>
      </w:r>
      <w:r w:rsidRPr="009C6DA3">
        <w:rPr>
          <w:lang w:val="ro-RO"/>
        </w:rPr>
        <w:t>rii, lucr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rilor publice </w:t>
      </w:r>
      <w:r w:rsidR="00EC71BF">
        <w:rPr>
          <w:lang w:val="ro-RO"/>
        </w:rPr>
        <w:t>ș</w:t>
      </w:r>
      <w:r w:rsidRPr="009C6DA3">
        <w:rPr>
          <w:lang w:val="ro-RO"/>
        </w:rPr>
        <w:t>i administra</w:t>
      </w:r>
      <w:r w:rsidR="00EC71BF">
        <w:rPr>
          <w:lang w:val="ro-RO"/>
        </w:rPr>
        <w:t>ț</w:t>
      </w:r>
      <w:r w:rsidRPr="009C6DA3">
        <w:rPr>
          <w:lang w:val="ro-RO"/>
        </w:rPr>
        <w:t>iei nr. 999/2022</w:t>
      </w:r>
      <w:r w:rsidR="007E69D7" w:rsidRPr="001E0B1F">
        <w:rPr>
          <w:color w:val="auto"/>
          <w:lang w:val="ro-RO"/>
        </w:rPr>
        <w:t>,</w:t>
      </w:r>
      <w:r w:rsidR="001E0B1F" w:rsidRPr="001E0B1F">
        <w:rPr>
          <w:color w:val="auto"/>
          <w:lang w:val="ro-RO"/>
        </w:rPr>
        <w:t xml:space="preserve"> </w:t>
      </w:r>
      <w:r w:rsidRPr="009C6DA3">
        <w:rPr>
          <w:lang w:val="ro-RO"/>
        </w:rPr>
        <w:t xml:space="preserve">publicat </w:t>
      </w:r>
      <w:r w:rsidR="00EC71BF">
        <w:rPr>
          <w:lang w:val="ro-RO"/>
        </w:rPr>
        <w:t>î</w:t>
      </w:r>
      <w:r w:rsidRPr="009C6DA3">
        <w:rPr>
          <w:lang w:val="ro-RO"/>
        </w:rPr>
        <w:t>n Monitorul Oficial al Rom</w:t>
      </w:r>
      <w:r w:rsidR="00EC71BF">
        <w:rPr>
          <w:lang w:val="ro-RO"/>
        </w:rPr>
        <w:t>â</w:t>
      </w:r>
      <w:r w:rsidRPr="009C6DA3">
        <w:rPr>
          <w:lang w:val="ro-RO"/>
        </w:rPr>
        <w:t xml:space="preserve">niei nr. 467 </w:t>
      </w:r>
      <w:r w:rsidR="002537F7">
        <w:rPr>
          <w:lang w:val="ro-RO"/>
        </w:rPr>
        <w:t xml:space="preserve">și 467 </w:t>
      </w:r>
      <w:r w:rsidRPr="009C6DA3">
        <w:rPr>
          <w:lang w:val="ro-RO"/>
        </w:rPr>
        <w:t>bis/10.05.2022, se modific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 </w:t>
      </w:r>
      <w:r w:rsidR="00EC71BF">
        <w:rPr>
          <w:lang w:val="ro-RO"/>
        </w:rPr>
        <w:t>ș</w:t>
      </w:r>
      <w:r w:rsidRPr="009C6DA3">
        <w:rPr>
          <w:lang w:val="ro-RO"/>
        </w:rPr>
        <w:t>i se completeaz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 dup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 cum urmeaz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: </w:t>
      </w:r>
    </w:p>
    <w:p w14:paraId="75A2F235" w14:textId="16802249" w:rsidR="002537F7" w:rsidRDefault="00C0767B" w:rsidP="002537F7">
      <w:pPr>
        <w:numPr>
          <w:ilvl w:val="0"/>
          <w:numId w:val="1"/>
        </w:numPr>
        <w:ind w:right="0" w:hanging="283"/>
        <w:rPr>
          <w:lang w:val="ro-RO"/>
        </w:rPr>
      </w:pPr>
      <w:r w:rsidRPr="009C6DA3">
        <w:rPr>
          <w:lang w:val="ro-RO"/>
        </w:rPr>
        <w:t>La sec</w:t>
      </w:r>
      <w:r w:rsidR="00EC71BF">
        <w:rPr>
          <w:lang w:val="ro-RO"/>
        </w:rPr>
        <w:t>ț</w:t>
      </w:r>
      <w:r w:rsidRPr="009C6DA3">
        <w:rPr>
          <w:lang w:val="ro-RO"/>
        </w:rPr>
        <w:t xml:space="preserve">iunea </w:t>
      </w:r>
      <w:r w:rsidRPr="009C6DA3">
        <w:rPr>
          <w:b/>
          <w:lang w:val="ro-RO"/>
        </w:rPr>
        <w:t>2.1 Tipul apelului de proiecte</w:t>
      </w:r>
      <w:r w:rsidRPr="009C6DA3">
        <w:rPr>
          <w:lang w:val="ro-RO"/>
        </w:rPr>
        <w:t xml:space="preserve">, </w:t>
      </w:r>
      <w:r w:rsidR="007E69D7" w:rsidRPr="001E0B1F">
        <w:rPr>
          <w:color w:val="auto"/>
          <w:lang w:val="ro-RO"/>
        </w:rPr>
        <w:t>subsec</w:t>
      </w:r>
      <w:r w:rsidR="00EC71BF">
        <w:rPr>
          <w:color w:val="auto"/>
          <w:lang w:val="ro-RO"/>
        </w:rPr>
        <w:t>ț</w:t>
      </w:r>
      <w:r w:rsidR="007E69D7" w:rsidRPr="001E0B1F">
        <w:rPr>
          <w:color w:val="auto"/>
          <w:lang w:val="ro-RO"/>
        </w:rPr>
        <w:t xml:space="preserve">iunea </w:t>
      </w:r>
      <w:r w:rsidRPr="001E0B1F">
        <w:rPr>
          <w:color w:val="auto"/>
          <w:lang w:val="ro-RO"/>
        </w:rPr>
        <w:t>„</w:t>
      </w:r>
      <w:r w:rsidRPr="001E0B1F">
        <w:rPr>
          <w:i/>
          <w:color w:val="auto"/>
          <w:lang w:val="ro-RO"/>
        </w:rPr>
        <w:t>A doua rund</w:t>
      </w:r>
      <w:r w:rsidR="00EC71BF">
        <w:rPr>
          <w:i/>
          <w:color w:val="auto"/>
          <w:lang w:val="ro-RO"/>
        </w:rPr>
        <w:t>ă</w:t>
      </w:r>
      <w:r w:rsidRPr="001E0B1F">
        <w:rPr>
          <w:i/>
          <w:color w:val="auto"/>
          <w:lang w:val="ro-RO"/>
        </w:rPr>
        <w:t xml:space="preserve"> de atragere de fonduri</w:t>
      </w:r>
      <w:r w:rsidRPr="001E0B1F">
        <w:rPr>
          <w:color w:val="auto"/>
          <w:lang w:val="ro-RO"/>
        </w:rPr>
        <w:t>” se modific</w:t>
      </w:r>
      <w:r w:rsidR="00EC71BF">
        <w:rPr>
          <w:color w:val="auto"/>
          <w:lang w:val="ro-RO"/>
        </w:rPr>
        <w:t>ă</w:t>
      </w:r>
      <w:r w:rsidRPr="001E0B1F">
        <w:rPr>
          <w:color w:val="auto"/>
          <w:lang w:val="ro-RO"/>
        </w:rPr>
        <w:t xml:space="preserve"> </w:t>
      </w:r>
      <w:r w:rsidR="00EC71BF">
        <w:rPr>
          <w:color w:val="auto"/>
          <w:lang w:val="ro-RO"/>
        </w:rPr>
        <w:t>ș</w:t>
      </w:r>
      <w:r w:rsidRPr="001E0B1F">
        <w:rPr>
          <w:color w:val="auto"/>
          <w:lang w:val="ro-RO"/>
        </w:rPr>
        <w:t>i va avea urm</w:t>
      </w:r>
      <w:r w:rsidR="00EC71BF">
        <w:rPr>
          <w:color w:val="auto"/>
          <w:lang w:val="ro-RO"/>
        </w:rPr>
        <w:t>ă</w:t>
      </w:r>
      <w:r w:rsidRPr="001E0B1F">
        <w:rPr>
          <w:color w:val="auto"/>
          <w:lang w:val="ro-RO"/>
        </w:rPr>
        <w:t xml:space="preserve">torul cuprins: </w:t>
      </w:r>
    </w:p>
    <w:p w14:paraId="4CB01838" w14:textId="77777777" w:rsidR="002537F7" w:rsidRPr="002537F7" w:rsidRDefault="002537F7" w:rsidP="00A40A37">
      <w:pPr>
        <w:ind w:left="0" w:right="0" w:firstLine="0"/>
        <w:rPr>
          <w:lang w:val="ro-RO"/>
        </w:rPr>
      </w:pPr>
    </w:p>
    <w:p w14:paraId="26FC28CD" w14:textId="77777777" w:rsidR="002537F7" w:rsidRDefault="007E69D7" w:rsidP="008F32E7">
      <w:pPr>
        <w:spacing w:after="229"/>
        <w:ind w:left="-5" w:right="0"/>
        <w:rPr>
          <w:color w:val="auto"/>
          <w:lang w:val="ro-RO"/>
        </w:rPr>
      </w:pPr>
      <w:r w:rsidRPr="001E0B1F">
        <w:rPr>
          <w:color w:val="auto"/>
          <w:lang w:val="ro-RO"/>
        </w:rPr>
        <w:t>"</w:t>
      </w:r>
      <w:r w:rsidR="002537F7" w:rsidRPr="002537F7">
        <w:rPr>
          <w:i/>
          <w:color w:val="auto"/>
          <w:lang w:val="ro-RO"/>
        </w:rPr>
        <w:t xml:space="preserve"> </w:t>
      </w:r>
      <w:r w:rsidR="002537F7" w:rsidRPr="001E0B1F">
        <w:rPr>
          <w:i/>
          <w:color w:val="auto"/>
          <w:lang w:val="ro-RO"/>
        </w:rPr>
        <w:t>A doua rund</w:t>
      </w:r>
      <w:r w:rsidR="002537F7">
        <w:rPr>
          <w:i/>
          <w:color w:val="auto"/>
          <w:lang w:val="ro-RO"/>
        </w:rPr>
        <w:t>ă</w:t>
      </w:r>
      <w:r w:rsidR="002537F7" w:rsidRPr="001E0B1F">
        <w:rPr>
          <w:i/>
          <w:color w:val="auto"/>
          <w:lang w:val="ro-RO"/>
        </w:rPr>
        <w:t xml:space="preserve"> de atragere de fonduri</w:t>
      </w:r>
      <w:r w:rsidR="002537F7">
        <w:rPr>
          <w:color w:val="auto"/>
          <w:lang w:val="ro-RO"/>
        </w:rPr>
        <w:t xml:space="preserve"> </w:t>
      </w:r>
    </w:p>
    <w:p w14:paraId="0563EC74" w14:textId="4FC8B269" w:rsidR="00ED431E" w:rsidRPr="001E0B1F" w:rsidRDefault="00EC71BF" w:rsidP="008F32E7">
      <w:pPr>
        <w:spacing w:after="229"/>
        <w:ind w:left="-5" w:right="0"/>
        <w:rPr>
          <w:color w:val="auto"/>
          <w:lang w:val="ro-RO"/>
        </w:rPr>
      </w:pPr>
      <w:r>
        <w:rPr>
          <w:color w:val="auto"/>
          <w:lang w:val="ro-RO"/>
        </w:rPr>
        <w:t>Î</w:t>
      </w:r>
      <w:r w:rsidR="007E69D7" w:rsidRPr="001E0B1F">
        <w:rPr>
          <w:color w:val="auto"/>
          <w:lang w:val="ro-RO"/>
        </w:rPr>
        <w:t>n a doua rund</w:t>
      </w:r>
      <w:r>
        <w:rPr>
          <w:color w:val="auto"/>
          <w:lang w:val="ro-RO"/>
        </w:rPr>
        <w:t>ă</w:t>
      </w:r>
      <w:r w:rsidR="007E69D7" w:rsidRPr="001E0B1F">
        <w:rPr>
          <w:color w:val="auto"/>
          <w:lang w:val="ro-RO"/>
        </w:rPr>
        <w:t>, se redistribuie fondurile r</w:t>
      </w:r>
      <w:r>
        <w:rPr>
          <w:color w:val="auto"/>
          <w:lang w:val="ro-RO"/>
        </w:rPr>
        <w:t>ă</w:t>
      </w:r>
      <w:r w:rsidR="007E69D7" w:rsidRPr="001E0B1F">
        <w:rPr>
          <w:color w:val="auto"/>
          <w:lang w:val="ro-RO"/>
        </w:rPr>
        <w:t>mase neutilizate dup</w:t>
      </w:r>
      <w:r>
        <w:rPr>
          <w:color w:val="auto"/>
          <w:lang w:val="ro-RO"/>
        </w:rPr>
        <w:t>ă</w:t>
      </w:r>
      <w:r w:rsidR="007E69D7" w:rsidRPr="001E0B1F">
        <w:rPr>
          <w:color w:val="auto"/>
          <w:lang w:val="ro-RO"/>
        </w:rPr>
        <w:t xml:space="preserve"> </w:t>
      </w:r>
      <w:r>
        <w:rPr>
          <w:color w:val="auto"/>
          <w:lang w:val="ro-RO"/>
        </w:rPr>
        <w:t>î</w:t>
      </w:r>
      <w:r w:rsidR="007E69D7" w:rsidRPr="001E0B1F">
        <w:rPr>
          <w:color w:val="auto"/>
          <w:lang w:val="ro-RO"/>
        </w:rPr>
        <w:t xml:space="preserve">ncheierea primei runde. Apelul va fi deschis tuturor </w:t>
      </w:r>
      <w:r w:rsidR="008935F9" w:rsidRPr="001E0B1F">
        <w:rPr>
          <w:color w:val="auto"/>
          <w:lang w:val="ro-RO"/>
        </w:rPr>
        <w:t>unit</w:t>
      </w:r>
      <w:r>
        <w:rPr>
          <w:color w:val="auto"/>
          <w:lang w:val="ro-RO"/>
        </w:rPr>
        <w:t>ăț</w:t>
      </w:r>
      <w:r w:rsidR="008935F9" w:rsidRPr="001E0B1F">
        <w:rPr>
          <w:color w:val="auto"/>
          <w:lang w:val="ro-RO"/>
        </w:rPr>
        <w:t>ilor administrativ</w:t>
      </w:r>
      <w:r w:rsidR="00273B42">
        <w:rPr>
          <w:color w:val="auto"/>
          <w:lang w:val="ro-RO"/>
        </w:rPr>
        <w:t>-</w:t>
      </w:r>
      <w:r w:rsidR="008935F9" w:rsidRPr="001E0B1F">
        <w:rPr>
          <w:color w:val="auto"/>
          <w:lang w:val="ro-RO"/>
        </w:rPr>
        <w:t>teritoriale</w:t>
      </w:r>
      <w:r w:rsidR="009E0BDE">
        <w:rPr>
          <w:color w:val="auto"/>
          <w:lang w:val="ro-RO"/>
        </w:rPr>
        <w:t xml:space="preserve"> </w:t>
      </w:r>
      <w:r>
        <w:rPr>
          <w:color w:val="auto"/>
          <w:lang w:val="ro-RO"/>
        </w:rPr>
        <w:t>ș</w:t>
      </w:r>
      <w:r w:rsidR="009E0BDE" w:rsidRPr="009E0BDE">
        <w:rPr>
          <w:color w:val="auto"/>
          <w:lang w:val="ro-RO"/>
        </w:rPr>
        <w:t>i subdiviziunilor municipiului Bucure</w:t>
      </w:r>
      <w:r>
        <w:rPr>
          <w:color w:val="auto"/>
          <w:lang w:val="ro-RO"/>
        </w:rPr>
        <w:t>ș</w:t>
      </w:r>
      <w:r w:rsidR="009E0BDE" w:rsidRPr="009E0BDE">
        <w:rPr>
          <w:color w:val="auto"/>
          <w:lang w:val="ro-RO"/>
        </w:rPr>
        <w:t>ti</w:t>
      </w:r>
      <w:r w:rsidR="007E69D7" w:rsidRPr="009E0BDE">
        <w:rPr>
          <w:color w:val="auto"/>
          <w:lang w:val="ro-RO"/>
        </w:rPr>
        <w:t>,</w:t>
      </w:r>
      <w:r w:rsidR="007E69D7" w:rsidRPr="001E0B1F">
        <w:rPr>
          <w:color w:val="auto"/>
          <w:lang w:val="ro-RO"/>
        </w:rPr>
        <w:t xml:space="preserve"> </w:t>
      </w:r>
      <w:r>
        <w:rPr>
          <w:color w:val="auto"/>
          <w:lang w:val="ro-RO"/>
        </w:rPr>
        <w:t>î</w:t>
      </w:r>
      <w:r w:rsidR="007E69D7" w:rsidRPr="001E0B1F">
        <w:rPr>
          <w:color w:val="auto"/>
          <w:lang w:val="ro-RO"/>
        </w:rPr>
        <w:t>n limita fondurilor alocate pentru fiecare investi</w:t>
      </w:r>
      <w:r>
        <w:rPr>
          <w:color w:val="auto"/>
          <w:lang w:val="ro-RO"/>
        </w:rPr>
        <w:t>ț</w:t>
      </w:r>
      <w:r w:rsidR="007E69D7" w:rsidRPr="001E0B1F">
        <w:rPr>
          <w:color w:val="auto"/>
          <w:lang w:val="ro-RO"/>
        </w:rPr>
        <w:t xml:space="preserve">ie, pe baza principiului „primul venit/primul servit”, </w:t>
      </w:r>
      <w:r>
        <w:rPr>
          <w:color w:val="auto"/>
          <w:lang w:val="ro-RO"/>
        </w:rPr>
        <w:t>ț</w:t>
      </w:r>
      <w:r w:rsidR="007E69D7" w:rsidRPr="001E0B1F">
        <w:rPr>
          <w:color w:val="auto"/>
          <w:lang w:val="ro-RO"/>
        </w:rPr>
        <w:t>in</w:t>
      </w:r>
      <w:r>
        <w:rPr>
          <w:color w:val="auto"/>
          <w:lang w:val="ro-RO"/>
        </w:rPr>
        <w:t>â</w:t>
      </w:r>
      <w:r w:rsidR="007E69D7" w:rsidRPr="001E0B1F">
        <w:rPr>
          <w:color w:val="auto"/>
          <w:lang w:val="ro-RO"/>
        </w:rPr>
        <w:t>ndu-se cont de condi</w:t>
      </w:r>
      <w:r>
        <w:rPr>
          <w:color w:val="auto"/>
          <w:lang w:val="ro-RO"/>
        </w:rPr>
        <w:t>ț</w:t>
      </w:r>
      <w:r w:rsidR="007E69D7" w:rsidRPr="001E0B1F">
        <w:rPr>
          <w:color w:val="auto"/>
          <w:lang w:val="ro-RO"/>
        </w:rPr>
        <w:t xml:space="preserve">iile de aplicare, respectiv </w:t>
      </w:r>
      <w:r w:rsidR="00A82773" w:rsidRPr="001E0B1F">
        <w:rPr>
          <w:color w:val="auto"/>
          <w:lang w:val="ro-RO"/>
        </w:rPr>
        <w:t xml:space="preserve">de </w:t>
      </w:r>
      <w:r w:rsidR="007E69D7" w:rsidRPr="001E0B1F">
        <w:rPr>
          <w:color w:val="auto"/>
          <w:lang w:val="ro-RO"/>
        </w:rPr>
        <w:t>criteriile de eligibilitate ale solicitan</w:t>
      </w:r>
      <w:r>
        <w:rPr>
          <w:color w:val="auto"/>
          <w:lang w:val="ro-RO"/>
        </w:rPr>
        <w:t>ț</w:t>
      </w:r>
      <w:r w:rsidR="007E69D7" w:rsidRPr="001E0B1F">
        <w:rPr>
          <w:color w:val="auto"/>
          <w:lang w:val="ro-RO"/>
        </w:rPr>
        <w:t xml:space="preserve">ilor </w:t>
      </w:r>
      <w:r>
        <w:rPr>
          <w:color w:val="auto"/>
          <w:lang w:val="ro-RO"/>
        </w:rPr>
        <w:t>ș</w:t>
      </w:r>
      <w:r w:rsidR="007E69D7" w:rsidRPr="001E0B1F">
        <w:rPr>
          <w:color w:val="auto"/>
          <w:lang w:val="ro-RO"/>
        </w:rPr>
        <w:t xml:space="preserve">i </w:t>
      </w:r>
      <w:r w:rsidR="00A82773" w:rsidRPr="001E0B1F">
        <w:rPr>
          <w:color w:val="auto"/>
          <w:lang w:val="ro-RO"/>
        </w:rPr>
        <w:t xml:space="preserve">de </w:t>
      </w:r>
      <w:r w:rsidR="007E69D7" w:rsidRPr="001E0B1F">
        <w:rPr>
          <w:color w:val="auto"/>
          <w:lang w:val="ro-RO"/>
        </w:rPr>
        <w:t>tipuri de lucr</w:t>
      </w:r>
      <w:r>
        <w:rPr>
          <w:color w:val="auto"/>
          <w:lang w:val="ro-RO"/>
        </w:rPr>
        <w:t>ă</w:t>
      </w:r>
      <w:r w:rsidR="007E69D7" w:rsidRPr="001E0B1F">
        <w:rPr>
          <w:color w:val="auto"/>
          <w:lang w:val="ro-RO"/>
        </w:rPr>
        <w:t>ri/categorii de cheltuieli eligibile pentru investi</w:t>
      </w:r>
      <w:r>
        <w:rPr>
          <w:color w:val="auto"/>
          <w:lang w:val="ro-RO"/>
        </w:rPr>
        <w:t>ț</w:t>
      </w:r>
      <w:r w:rsidR="007E69D7" w:rsidRPr="001E0B1F">
        <w:rPr>
          <w:color w:val="auto"/>
          <w:lang w:val="ro-RO"/>
        </w:rPr>
        <w:t xml:space="preserve">ii, conform Anexei nr. 1 la </w:t>
      </w:r>
      <w:r w:rsidR="002537F7">
        <w:rPr>
          <w:color w:val="auto"/>
          <w:lang w:val="ro-RO"/>
        </w:rPr>
        <w:t xml:space="preserve">prezentul </w:t>
      </w:r>
      <w:r w:rsidR="007E69D7" w:rsidRPr="001E0B1F">
        <w:rPr>
          <w:color w:val="auto"/>
          <w:lang w:val="ro-RO"/>
        </w:rPr>
        <w:t>ghid</w:t>
      </w:r>
      <w:r w:rsidR="002537F7">
        <w:rPr>
          <w:color w:val="auto"/>
          <w:lang w:val="ro-RO"/>
        </w:rPr>
        <w:t xml:space="preserve"> </w:t>
      </w:r>
      <w:r w:rsidR="007E69D7" w:rsidRPr="001E0B1F">
        <w:rPr>
          <w:color w:val="auto"/>
          <w:lang w:val="ro-RO"/>
        </w:rPr>
        <w:t xml:space="preserve"> specific. </w:t>
      </w:r>
    </w:p>
    <w:p w14:paraId="6572D68F" w14:textId="38BE69A5" w:rsidR="00ED431E" w:rsidRPr="009C6DA3" w:rsidRDefault="00C0767B" w:rsidP="008F32E7">
      <w:pPr>
        <w:spacing w:after="232"/>
        <w:ind w:left="-5" w:right="0"/>
        <w:rPr>
          <w:lang w:val="ro-RO"/>
        </w:rPr>
      </w:pPr>
      <w:r w:rsidRPr="009C6DA3">
        <w:rPr>
          <w:lang w:val="ro-RO"/>
        </w:rPr>
        <w:t>Cererea de finan</w:t>
      </w:r>
      <w:r w:rsidR="00EC71BF">
        <w:rPr>
          <w:lang w:val="ro-RO"/>
        </w:rPr>
        <w:t>ț</w:t>
      </w:r>
      <w:r w:rsidRPr="009C6DA3">
        <w:rPr>
          <w:lang w:val="ro-RO"/>
        </w:rPr>
        <w:t>are se depune pentru fiecare investi</w:t>
      </w:r>
      <w:r w:rsidR="00EC71BF">
        <w:rPr>
          <w:lang w:val="ro-RO"/>
        </w:rPr>
        <w:t>ț</w:t>
      </w:r>
      <w:r w:rsidRPr="009C6DA3">
        <w:rPr>
          <w:lang w:val="ro-RO"/>
        </w:rPr>
        <w:t>ie/sub</w:t>
      </w:r>
      <w:r w:rsidRPr="001E0B1F">
        <w:rPr>
          <w:color w:val="auto"/>
          <w:lang w:val="ro-RO"/>
        </w:rPr>
        <w:t>-</w:t>
      </w:r>
      <w:r w:rsidRPr="009C6DA3">
        <w:rPr>
          <w:lang w:val="ro-RO"/>
        </w:rPr>
        <w:t>investi</w:t>
      </w:r>
      <w:r w:rsidR="00EC71BF">
        <w:rPr>
          <w:lang w:val="ro-RO"/>
        </w:rPr>
        <w:t>ț</w:t>
      </w:r>
      <w:r w:rsidRPr="009C6DA3">
        <w:rPr>
          <w:lang w:val="ro-RO"/>
        </w:rPr>
        <w:t xml:space="preserve">ie </w:t>
      </w:r>
      <w:r w:rsidR="00EC71BF">
        <w:rPr>
          <w:lang w:val="ro-RO"/>
        </w:rPr>
        <w:t>î</w:t>
      </w:r>
      <w:r w:rsidRPr="009C6DA3">
        <w:rPr>
          <w:lang w:val="ro-RO"/>
        </w:rPr>
        <w:t xml:space="preserve">n parte. </w:t>
      </w:r>
      <w:r w:rsidR="00EC71BF">
        <w:rPr>
          <w:lang w:val="ro-RO"/>
        </w:rPr>
        <w:t>Î</w:t>
      </w:r>
      <w:r w:rsidRPr="009C6DA3">
        <w:rPr>
          <w:lang w:val="ro-RO"/>
        </w:rPr>
        <w:t xml:space="preserve">n cazul </w:t>
      </w:r>
      <w:r w:rsidR="00EC71BF">
        <w:rPr>
          <w:lang w:val="ro-RO"/>
        </w:rPr>
        <w:t>î</w:t>
      </w:r>
      <w:r w:rsidRPr="009C6DA3">
        <w:rPr>
          <w:lang w:val="ro-RO"/>
        </w:rPr>
        <w:t>n care cererea de finan</w:t>
      </w:r>
      <w:r w:rsidR="00EC71BF">
        <w:rPr>
          <w:lang w:val="ro-RO"/>
        </w:rPr>
        <w:t>ț</w:t>
      </w:r>
      <w:r w:rsidRPr="009C6DA3">
        <w:rPr>
          <w:lang w:val="ro-RO"/>
        </w:rPr>
        <w:t>are respect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 cerin</w:t>
      </w:r>
      <w:r w:rsidR="00EC71BF">
        <w:rPr>
          <w:lang w:val="ro-RO"/>
        </w:rPr>
        <w:t>ț</w:t>
      </w:r>
      <w:r w:rsidRPr="009C6DA3">
        <w:rPr>
          <w:lang w:val="ro-RO"/>
        </w:rPr>
        <w:t>ele prev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zute </w:t>
      </w:r>
      <w:r w:rsidR="00EC71BF">
        <w:rPr>
          <w:lang w:val="ro-RO"/>
        </w:rPr>
        <w:t>î</w:t>
      </w:r>
      <w:r w:rsidRPr="009C6DA3">
        <w:rPr>
          <w:lang w:val="ro-RO"/>
        </w:rPr>
        <w:t xml:space="preserve">n ghidul specific </w:t>
      </w:r>
      <w:r w:rsidR="00EC71BF">
        <w:rPr>
          <w:lang w:val="ro-RO"/>
        </w:rPr>
        <w:t>ș</w:t>
      </w:r>
      <w:r w:rsidRPr="009C6DA3">
        <w:rPr>
          <w:lang w:val="ro-RO"/>
        </w:rPr>
        <w:t xml:space="preserve">i se </w:t>
      </w:r>
      <w:r w:rsidR="00EC71BF">
        <w:rPr>
          <w:lang w:val="ro-RO"/>
        </w:rPr>
        <w:t>î</w:t>
      </w:r>
      <w:r w:rsidRPr="009C6DA3">
        <w:rPr>
          <w:lang w:val="ro-RO"/>
        </w:rPr>
        <w:t>ncadreaz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 </w:t>
      </w:r>
      <w:r w:rsidR="00EC71BF">
        <w:rPr>
          <w:lang w:val="ro-RO"/>
        </w:rPr>
        <w:t>î</w:t>
      </w:r>
      <w:r w:rsidRPr="009C6DA3">
        <w:rPr>
          <w:lang w:val="ro-RO"/>
        </w:rPr>
        <w:t>n fondurile disponibile pentru investi</w:t>
      </w:r>
      <w:r w:rsidR="00EC71BF">
        <w:rPr>
          <w:lang w:val="ro-RO"/>
        </w:rPr>
        <w:t>ț</w:t>
      </w:r>
      <w:r w:rsidRPr="009C6DA3">
        <w:rPr>
          <w:lang w:val="ro-RO"/>
        </w:rPr>
        <w:t>ia respectiv</w:t>
      </w:r>
      <w:r w:rsidR="00EC71BF">
        <w:rPr>
          <w:lang w:val="ro-RO"/>
        </w:rPr>
        <w:t>ă</w:t>
      </w:r>
      <w:r w:rsidRPr="009C6DA3">
        <w:rPr>
          <w:lang w:val="ro-RO"/>
        </w:rPr>
        <w:t>, se va proceda la semnarea contractului de finan</w:t>
      </w:r>
      <w:r w:rsidR="00EC71BF">
        <w:rPr>
          <w:lang w:val="ro-RO"/>
        </w:rPr>
        <w:t>ț</w:t>
      </w:r>
      <w:r w:rsidRPr="009C6DA3">
        <w:rPr>
          <w:lang w:val="ro-RO"/>
        </w:rPr>
        <w:t>are dintre Ministerul Dezvolt</w:t>
      </w:r>
      <w:r w:rsidR="00EC71BF">
        <w:rPr>
          <w:lang w:val="ro-RO"/>
        </w:rPr>
        <w:t>ă</w:t>
      </w:r>
      <w:r w:rsidRPr="009C6DA3">
        <w:rPr>
          <w:lang w:val="ro-RO"/>
        </w:rPr>
        <w:t>rii, Lucr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rilor Publice </w:t>
      </w:r>
      <w:r w:rsidR="00EC71BF">
        <w:rPr>
          <w:lang w:val="ro-RO"/>
        </w:rPr>
        <w:t>ș</w:t>
      </w:r>
      <w:r w:rsidRPr="009C6DA3">
        <w:rPr>
          <w:lang w:val="ro-RO"/>
        </w:rPr>
        <w:t>i Administra</w:t>
      </w:r>
      <w:r w:rsidR="00EC71BF">
        <w:rPr>
          <w:lang w:val="ro-RO"/>
        </w:rPr>
        <w:t>ț</w:t>
      </w:r>
      <w:r w:rsidRPr="009C6DA3">
        <w:rPr>
          <w:lang w:val="ro-RO"/>
        </w:rPr>
        <w:t xml:space="preserve">iei (MDLPA) </w:t>
      </w:r>
      <w:r w:rsidR="00EC71BF">
        <w:rPr>
          <w:lang w:val="ro-RO"/>
        </w:rPr>
        <w:t>ș</w:t>
      </w:r>
      <w:r w:rsidRPr="009C6DA3">
        <w:rPr>
          <w:lang w:val="ro-RO"/>
        </w:rPr>
        <w:t xml:space="preserve">i solicitant.  </w:t>
      </w:r>
    </w:p>
    <w:p w14:paraId="019E238A" w14:textId="044490FC" w:rsidR="00ED431E" w:rsidRPr="001E0B1F" w:rsidRDefault="00EC71BF" w:rsidP="008F32E7">
      <w:pPr>
        <w:spacing w:after="110"/>
        <w:ind w:left="-5" w:right="0"/>
        <w:rPr>
          <w:color w:val="auto"/>
          <w:lang w:val="ro-RO"/>
        </w:rPr>
      </w:pPr>
      <w:r>
        <w:rPr>
          <w:lang w:val="ro-RO"/>
        </w:rPr>
        <w:t>Î</w:t>
      </w:r>
      <w:r w:rsidR="00C0767B" w:rsidRPr="009C6DA3">
        <w:rPr>
          <w:lang w:val="ro-RO"/>
        </w:rPr>
        <w:t xml:space="preserve">n cazul </w:t>
      </w:r>
      <w:r>
        <w:rPr>
          <w:lang w:val="ro-RO"/>
        </w:rPr>
        <w:t>î</w:t>
      </w:r>
      <w:r w:rsidR="00C0767B" w:rsidRPr="009C6DA3">
        <w:rPr>
          <w:lang w:val="ro-RO"/>
        </w:rPr>
        <w:t>n care documenta</w:t>
      </w:r>
      <w:r>
        <w:rPr>
          <w:lang w:val="ro-RO"/>
        </w:rPr>
        <w:t>ț</w:t>
      </w:r>
      <w:r w:rsidR="00C0767B" w:rsidRPr="009C6DA3">
        <w:rPr>
          <w:lang w:val="ro-RO"/>
        </w:rPr>
        <w:t>ia transmis</w:t>
      </w:r>
      <w:r>
        <w:rPr>
          <w:lang w:val="ro-RO"/>
        </w:rPr>
        <w:t>ă</w:t>
      </w:r>
      <w:r w:rsidR="00C0767B" w:rsidRPr="009C6DA3">
        <w:rPr>
          <w:lang w:val="ro-RO"/>
        </w:rPr>
        <w:t xml:space="preserve"> de c</w:t>
      </w:r>
      <w:r>
        <w:rPr>
          <w:lang w:val="ro-RO"/>
        </w:rPr>
        <w:t>ă</w:t>
      </w:r>
      <w:r w:rsidR="00C0767B" w:rsidRPr="009C6DA3">
        <w:rPr>
          <w:lang w:val="ro-RO"/>
        </w:rPr>
        <w:t>tre solicitant necesit</w:t>
      </w:r>
      <w:r>
        <w:rPr>
          <w:lang w:val="ro-RO"/>
        </w:rPr>
        <w:t>ă</w:t>
      </w:r>
      <w:r w:rsidR="00C0767B" w:rsidRPr="009C6DA3">
        <w:rPr>
          <w:lang w:val="ro-RO"/>
        </w:rPr>
        <w:t xml:space="preserve"> </w:t>
      </w:r>
      <w:r w:rsidR="00AD5410">
        <w:rPr>
          <w:lang w:val="ro-RO"/>
        </w:rPr>
        <w:t>clarific</w:t>
      </w:r>
      <w:r>
        <w:rPr>
          <w:lang w:val="ro-RO"/>
        </w:rPr>
        <w:t>ă</w:t>
      </w:r>
      <w:r w:rsidR="00AD5410">
        <w:rPr>
          <w:lang w:val="ro-RO"/>
        </w:rPr>
        <w:t>ri</w:t>
      </w:r>
      <w:r w:rsidR="00C0767B" w:rsidRPr="009C6DA3">
        <w:rPr>
          <w:lang w:val="ro-RO"/>
        </w:rPr>
        <w:t xml:space="preserve">, MDLPA </w:t>
      </w:r>
      <w:r w:rsidR="00AD5410">
        <w:rPr>
          <w:lang w:val="ro-RO"/>
        </w:rPr>
        <w:t xml:space="preserve">le </w:t>
      </w:r>
      <w:r w:rsidR="00C0767B" w:rsidRPr="009C6DA3">
        <w:rPr>
          <w:lang w:val="ro-RO"/>
        </w:rPr>
        <w:t xml:space="preserve">poate solicita. </w:t>
      </w:r>
      <w:r>
        <w:rPr>
          <w:lang w:val="ro-RO"/>
        </w:rPr>
        <w:t>Î</w:t>
      </w:r>
      <w:r w:rsidR="00C0767B" w:rsidRPr="009C6DA3">
        <w:rPr>
          <w:lang w:val="ro-RO"/>
        </w:rPr>
        <w:t>n acest caz, semnarea contractului de finan</w:t>
      </w:r>
      <w:r>
        <w:rPr>
          <w:lang w:val="ro-RO"/>
        </w:rPr>
        <w:t>ț</w:t>
      </w:r>
      <w:r w:rsidR="00C0767B" w:rsidRPr="009C6DA3">
        <w:rPr>
          <w:lang w:val="ro-RO"/>
        </w:rPr>
        <w:t>are va avea loc doar dup</w:t>
      </w:r>
      <w:r>
        <w:rPr>
          <w:lang w:val="ro-RO"/>
        </w:rPr>
        <w:t>ă</w:t>
      </w:r>
      <w:r w:rsidR="00C0767B" w:rsidRPr="009C6DA3">
        <w:rPr>
          <w:lang w:val="ro-RO"/>
        </w:rPr>
        <w:t xml:space="preserve"> furnizarea tuturor informa</w:t>
      </w:r>
      <w:r>
        <w:rPr>
          <w:lang w:val="ro-RO"/>
        </w:rPr>
        <w:t>ț</w:t>
      </w:r>
      <w:r w:rsidR="00C0767B" w:rsidRPr="009C6DA3">
        <w:rPr>
          <w:lang w:val="ro-RO"/>
        </w:rPr>
        <w:t xml:space="preserve">iilor solicitate </w:t>
      </w:r>
      <w:r>
        <w:rPr>
          <w:lang w:val="ro-RO"/>
        </w:rPr>
        <w:t>ș</w:t>
      </w:r>
      <w:r w:rsidR="00C0767B" w:rsidRPr="009C6DA3">
        <w:rPr>
          <w:lang w:val="ro-RO"/>
        </w:rPr>
        <w:t>i numai dac</w:t>
      </w:r>
      <w:r>
        <w:rPr>
          <w:lang w:val="ro-RO"/>
        </w:rPr>
        <w:t>ă</w:t>
      </w:r>
      <w:r w:rsidR="00C0767B" w:rsidRPr="009C6DA3">
        <w:rPr>
          <w:lang w:val="ro-RO"/>
        </w:rPr>
        <w:t xml:space="preserve"> informa</w:t>
      </w:r>
      <w:r>
        <w:rPr>
          <w:lang w:val="ro-RO"/>
        </w:rPr>
        <w:t>ț</w:t>
      </w:r>
      <w:r w:rsidR="00C0767B" w:rsidRPr="009C6DA3">
        <w:rPr>
          <w:lang w:val="ro-RO"/>
        </w:rPr>
        <w:t>iile furnizare sunt corespunz</w:t>
      </w:r>
      <w:r>
        <w:rPr>
          <w:lang w:val="ro-RO"/>
        </w:rPr>
        <w:t>ă</w:t>
      </w:r>
      <w:r w:rsidR="00C0767B" w:rsidRPr="009C6DA3">
        <w:rPr>
          <w:lang w:val="ro-RO"/>
        </w:rPr>
        <w:t xml:space="preserve">toare, </w:t>
      </w:r>
      <w:r>
        <w:rPr>
          <w:lang w:val="ro-RO"/>
        </w:rPr>
        <w:t>î</w:t>
      </w:r>
      <w:r w:rsidR="00C0767B" w:rsidRPr="009C6DA3">
        <w:rPr>
          <w:lang w:val="ro-RO"/>
        </w:rPr>
        <w:t>n limita fondurilor disponibile pentru fiecare categorie de investi</w:t>
      </w:r>
      <w:r>
        <w:rPr>
          <w:lang w:val="ro-RO"/>
        </w:rPr>
        <w:t>ț</w:t>
      </w:r>
      <w:r w:rsidR="00C0767B" w:rsidRPr="009C6DA3">
        <w:rPr>
          <w:lang w:val="ro-RO"/>
        </w:rPr>
        <w:t>ie</w:t>
      </w:r>
      <w:r w:rsidR="00C0767B" w:rsidRPr="001E0B1F">
        <w:rPr>
          <w:color w:val="auto"/>
          <w:lang w:val="ro-RO"/>
        </w:rPr>
        <w:t>.</w:t>
      </w:r>
      <w:r w:rsidR="007E69D7" w:rsidRPr="001E0B1F">
        <w:rPr>
          <w:color w:val="auto"/>
          <w:lang w:val="ro-RO"/>
        </w:rPr>
        <w:t>"</w:t>
      </w:r>
      <w:r w:rsidR="00C0767B" w:rsidRPr="001E0B1F">
        <w:rPr>
          <w:color w:val="auto"/>
          <w:lang w:val="ro-RO"/>
        </w:rPr>
        <w:t xml:space="preserve">  </w:t>
      </w:r>
    </w:p>
    <w:p w14:paraId="0C157113" w14:textId="617134F8" w:rsidR="00ED431E" w:rsidRPr="002537F7" w:rsidRDefault="00C0767B" w:rsidP="00A40A37">
      <w:pPr>
        <w:pStyle w:val="ListParagraph"/>
        <w:numPr>
          <w:ilvl w:val="0"/>
          <w:numId w:val="1"/>
        </w:numPr>
        <w:spacing w:after="157" w:line="259" w:lineRule="auto"/>
        <w:ind w:right="0" w:firstLine="0"/>
        <w:rPr>
          <w:lang w:val="ro-RO"/>
        </w:rPr>
      </w:pPr>
      <w:r w:rsidRPr="002537F7">
        <w:rPr>
          <w:lang w:val="ro-RO"/>
        </w:rPr>
        <w:t>La sec</w:t>
      </w:r>
      <w:r w:rsidR="00EC71BF" w:rsidRPr="002537F7">
        <w:rPr>
          <w:lang w:val="ro-RO"/>
        </w:rPr>
        <w:t>ț</w:t>
      </w:r>
      <w:r w:rsidRPr="002537F7">
        <w:rPr>
          <w:lang w:val="ro-RO"/>
        </w:rPr>
        <w:t xml:space="preserve">iunea </w:t>
      </w:r>
      <w:r w:rsidRPr="002537F7">
        <w:rPr>
          <w:b/>
          <w:lang w:val="ro-RO"/>
        </w:rPr>
        <w:t>2.3 Perioada de depunere a cererilor de finan</w:t>
      </w:r>
      <w:r w:rsidR="00EC71BF" w:rsidRPr="002537F7">
        <w:rPr>
          <w:b/>
          <w:lang w:val="ro-RO"/>
        </w:rPr>
        <w:t>ț</w:t>
      </w:r>
      <w:r w:rsidRPr="002537F7">
        <w:rPr>
          <w:b/>
          <w:lang w:val="ro-RO"/>
        </w:rPr>
        <w:t>are</w:t>
      </w:r>
      <w:r w:rsidRPr="002537F7">
        <w:rPr>
          <w:lang w:val="ro-RO"/>
        </w:rPr>
        <w:t>, paragraful „</w:t>
      </w:r>
      <w:r w:rsidRPr="002537F7">
        <w:rPr>
          <w:i/>
          <w:lang w:val="ro-RO"/>
        </w:rPr>
        <w:t>A doua rund</w:t>
      </w:r>
      <w:r w:rsidR="00EC71BF" w:rsidRPr="002537F7">
        <w:rPr>
          <w:i/>
          <w:lang w:val="ro-RO"/>
        </w:rPr>
        <w:t>ă</w:t>
      </w:r>
      <w:r w:rsidRPr="002537F7">
        <w:rPr>
          <w:i/>
          <w:lang w:val="ro-RO"/>
        </w:rPr>
        <w:t xml:space="preserve"> de atragere de fonduri</w:t>
      </w:r>
      <w:r w:rsidRPr="002537F7">
        <w:rPr>
          <w:lang w:val="ro-RO"/>
        </w:rPr>
        <w:t>” se modific</w:t>
      </w:r>
      <w:r w:rsidR="00EC71BF" w:rsidRPr="002537F7">
        <w:rPr>
          <w:lang w:val="ro-RO"/>
        </w:rPr>
        <w:t>ă</w:t>
      </w:r>
      <w:r w:rsidRPr="002537F7">
        <w:rPr>
          <w:lang w:val="ro-RO"/>
        </w:rPr>
        <w:t xml:space="preserve"> </w:t>
      </w:r>
      <w:r w:rsidR="00EC71BF" w:rsidRPr="002537F7">
        <w:rPr>
          <w:lang w:val="ro-RO"/>
        </w:rPr>
        <w:t>ș</w:t>
      </w:r>
      <w:r w:rsidRPr="002537F7">
        <w:rPr>
          <w:lang w:val="ro-RO"/>
        </w:rPr>
        <w:t xml:space="preserve">i </w:t>
      </w:r>
      <w:r w:rsidR="00891344" w:rsidRPr="002537F7">
        <w:rPr>
          <w:color w:val="auto"/>
          <w:lang w:val="ro-RO"/>
        </w:rPr>
        <w:t>va</w:t>
      </w:r>
      <w:r w:rsidRPr="002537F7">
        <w:rPr>
          <w:lang w:val="ro-RO"/>
        </w:rPr>
        <w:t xml:space="preserve"> avea urm</w:t>
      </w:r>
      <w:r w:rsidR="00EC71BF" w:rsidRPr="002537F7">
        <w:rPr>
          <w:lang w:val="ro-RO"/>
        </w:rPr>
        <w:t>ă</w:t>
      </w:r>
      <w:r w:rsidRPr="002537F7">
        <w:rPr>
          <w:lang w:val="ro-RO"/>
        </w:rPr>
        <w:t xml:space="preserve">torul cuprins: </w:t>
      </w:r>
    </w:p>
    <w:p w14:paraId="42EBD23A" w14:textId="2ACA0A33" w:rsidR="002537F7" w:rsidRPr="002537F7" w:rsidRDefault="002537F7" w:rsidP="00A40A37">
      <w:pPr>
        <w:spacing w:after="157" w:line="259" w:lineRule="auto"/>
        <w:ind w:left="283" w:right="0" w:firstLine="0"/>
        <w:rPr>
          <w:lang w:val="ro-RO"/>
        </w:rPr>
      </w:pPr>
      <w:r>
        <w:rPr>
          <w:i/>
          <w:color w:val="auto"/>
          <w:lang w:val="ro-RO"/>
        </w:rPr>
        <w:t>„</w:t>
      </w:r>
      <w:r w:rsidRPr="001E0B1F">
        <w:rPr>
          <w:i/>
          <w:color w:val="auto"/>
          <w:lang w:val="ro-RO"/>
        </w:rPr>
        <w:t>A doua rund</w:t>
      </w:r>
      <w:r>
        <w:rPr>
          <w:i/>
          <w:color w:val="auto"/>
          <w:lang w:val="ro-RO"/>
        </w:rPr>
        <w:t>ă</w:t>
      </w:r>
      <w:r w:rsidRPr="001E0B1F">
        <w:rPr>
          <w:i/>
          <w:color w:val="auto"/>
          <w:lang w:val="ro-RO"/>
        </w:rPr>
        <w:t xml:space="preserve"> de atragere de fonduri</w:t>
      </w:r>
    </w:p>
    <w:p w14:paraId="2D9F948C" w14:textId="77777777" w:rsidR="00ED431E" w:rsidRPr="009C6DA3" w:rsidRDefault="00C0767B" w:rsidP="008F32E7">
      <w:pPr>
        <w:spacing w:after="15" w:line="259" w:lineRule="auto"/>
        <w:ind w:left="283" w:right="0" w:firstLine="0"/>
        <w:rPr>
          <w:lang w:val="ro-RO"/>
        </w:rPr>
      </w:pPr>
      <w:r w:rsidRPr="009C6DA3">
        <w:rPr>
          <w:lang w:val="ro-RO"/>
        </w:rPr>
        <w:t xml:space="preserve"> </w:t>
      </w:r>
    </w:p>
    <w:p w14:paraId="5E128840" w14:textId="6AFD2687" w:rsidR="00790FD0" w:rsidRDefault="00C0767B" w:rsidP="008F32E7">
      <w:pPr>
        <w:tabs>
          <w:tab w:val="center" w:pos="2103"/>
          <w:tab w:val="center" w:pos="4321"/>
          <w:tab w:val="center" w:pos="6623"/>
        </w:tabs>
        <w:spacing w:after="3" w:line="258" w:lineRule="auto"/>
        <w:ind w:left="0" w:right="0" w:firstLine="0"/>
        <w:rPr>
          <w:lang w:val="ro-RO"/>
        </w:rPr>
      </w:pPr>
      <w:r w:rsidRPr="009C6DA3">
        <w:rPr>
          <w:rFonts w:ascii="Calibri" w:eastAsia="Calibri" w:hAnsi="Calibri" w:cs="Calibri"/>
          <w:sz w:val="22"/>
          <w:lang w:val="ro-RO"/>
        </w:rPr>
        <w:tab/>
      </w:r>
      <w:r w:rsidR="00790FD0">
        <w:rPr>
          <w:rFonts w:ascii="Calibri" w:eastAsia="Calibri" w:hAnsi="Calibri" w:cs="Calibri"/>
          <w:sz w:val="22"/>
          <w:lang w:val="ro-RO"/>
        </w:rPr>
        <w:t xml:space="preserve">       </w:t>
      </w:r>
      <w:r w:rsidRPr="009C6DA3">
        <w:rPr>
          <w:lang w:val="ro-RO"/>
        </w:rPr>
        <w:t>-</w:t>
      </w:r>
      <w:r w:rsidR="00790FD0">
        <w:rPr>
          <w:lang w:val="ro-RO"/>
        </w:rPr>
        <w:t>Data deschidere platform</w:t>
      </w:r>
      <w:r w:rsidR="00EC71BF">
        <w:rPr>
          <w:lang w:val="ro-RO"/>
        </w:rPr>
        <w:t>ă</w:t>
      </w:r>
      <w:r w:rsidR="00790FD0">
        <w:rPr>
          <w:lang w:val="ro-RO"/>
        </w:rPr>
        <w:t xml:space="preserve"> digital</w:t>
      </w:r>
      <w:r w:rsidR="00EC71BF">
        <w:rPr>
          <w:lang w:val="ro-RO"/>
        </w:rPr>
        <w:t>ă</w:t>
      </w:r>
      <w:r w:rsidR="00790FD0">
        <w:rPr>
          <w:lang w:val="ro-RO"/>
        </w:rPr>
        <w:t xml:space="preserve"> (test):   12 octombrie 2022</w:t>
      </w:r>
    </w:p>
    <w:p w14:paraId="0801E917" w14:textId="64587A15" w:rsidR="00ED431E" w:rsidRPr="009C6DA3" w:rsidRDefault="00790FD0" w:rsidP="00790FD0">
      <w:pPr>
        <w:tabs>
          <w:tab w:val="center" w:pos="2103"/>
          <w:tab w:val="center" w:pos="4321"/>
          <w:tab w:val="center" w:pos="6623"/>
        </w:tabs>
        <w:spacing w:after="3" w:line="258" w:lineRule="auto"/>
        <w:ind w:left="360" w:right="0" w:hanging="360"/>
        <w:rPr>
          <w:lang w:val="ro-RO"/>
        </w:rPr>
      </w:pPr>
      <w:r>
        <w:rPr>
          <w:lang w:val="ro-RO"/>
        </w:rPr>
        <w:tab/>
        <w:t>-</w:t>
      </w:r>
      <w:r w:rsidR="00EC71BF">
        <w:rPr>
          <w:lang w:val="ro-RO"/>
        </w:rPr>
        <w:t>Î</w:t>
      </w:r>
      <w:r w:rsidR="00C0767B" w:rsidRPr="009C6DA3">
        <w:rPr>
          <w:lang w:val="ro-RO"/>
        </w:rPr>
        <w:t xml:space="preserve">nceperea depunerii de proiecte: </w:t>
      </w:r>
      <w:r w:rsidR="00C0767B" w:rsidRPr="009C6DA3">
        <w:rPr>
          <w:lang w:val="ro-RO"/>
        </w:rPr>
        <w:tab/>
        <w:t xml:space="preserve"> </w:t>
      </w:r>
      <w:r w:rsidR="00C0767B" w:rsidRPr="009C6DA3">
        <w:rPr>
          <w:lang w:val="ro-RO"/>
        </w:rPr>
        <w:tab/>
      </w:r>
      <w:r>
        <w:rPr>
          <w:lang w:val="ro-RO"/>
        </w:rPr>
        <w:t xml:space="preserve">    </w:t>
      </w:r>
      <w:r w:rsidR="00C0767B" w:rsidRPr="009C6DA3">
        <w:rPr>
          <w:lang w:val="ro-RO"/>
        </w:rPr>
        <w:t xml:space="preserve">14 octombrie 2022, ora 10:00 </w:t>
      </w:r>
    </w:p>
    <w:p w14:paraId="4C57CD74" w14:textId="76965D9C" w:rsidR="00ED431E" w:rsidRPr="009C6DA3" w:rsidRDefault="00C0767B" w:rsidP="008F32E7">
      <w:pPr>
        <w:tabs>
          <w:tab w:val="center" w:pos="2093"/>
          <w:tab w:val="center" w:pos="4321"/>
          <w:tab w:val="center" w:pos="6624"/>
        </w:tabs>
        <w:spacing w:after="123" w:line="258" w:lineRule="auto"/>
        <w:ind w:left="0" w:right="0" w:firstLine="0"/>
        <w:rPr>
          <w:lang w:val="ro-RO"/>
        </w:rPr>
      </w:pPr>
      <w:r w:rsidRPr="009C6DA3">
        <w:rPr>
          <w:rFonts w:ascii="Calibri" w:eastAsia="Calibri" w:hAnsi="Calibri" w:cs="Calibri"/>
          <w:sz w:val="22"/>
          <w:lang w:val="ro-RO"/>
        </w:rPr>
        <w:tab/>
      </w:r>
      <w:r w:rsidR="00790FD0">
        <w:rPr>
          <w:rFonts w:ascii="Calibri" w:eastAsia="Calibri" w:hAnsi="Calibri" w:cs="Calibri"/>
          <w:sz w:val="22"/>
          <w:lang w:val="ro-RO"/>
        </w:rPr>
        <w:t xml:space="preserve">    </w:t>
      </w:r>
      <w:r w:rsidRPr="009C6DA3">
        <w:rPr>
          <w:lang w:val="ro-RO"/>
        </w:rPr>
        <w:t>-</w:t>
      </w:r>
      <w:r w:rsidR="00EC71BF">
        <w:rPr>
          <w:lang w:val="ro-RO"/>
        </w:rPr>
        <w:t>Î</w:t>
      </w:r>
      <w:r w:rsidRPr="009C6DA3">
        <w:rPr>
          <w:lang w:val="ro-RO"/>
        </w:rPr>
        <w:t xml:space="preserve">nchiderea depunerii de proiecte </w:t>
      </w:r>
      <w:r w:rsidRPr="009C6DA3">
        <w:rPr>
          <w:lang w:val="ro-RO"/>
        </w:rPr>
        <w:tab/>
        <w:t xml:space="preserve"> </w:t>
      </w:r>
      <w:r w:rsidRPr="009C6DA3">
        <w:rPr>
          <w:lang w:val="ro-RO"/>
        </w:rPr>
        <w:tab/>
      </w:r>
      <w:r w:rsidR="00790FD0">
        <w:rPr>
          <w:lang w:val="ro-RO"/>
        </w:rPr>
        <w:t xml:space="preserve">     </w:t>
      </w:r>
      <w:r w:rsidRPr="009C6DA3">
        <w:rPr>
          <w:lang w:val="ro-RO"/>
        </w:rPr>
        <w:t xml:space="preserve">27 octombrie 2022, ora 23:59 </w:t>
      </w:r>
    </w:p>
    <w:p w14:paraId="5F71BA86" w14:textId="748AE9C3" w:rsidR="00ED431E" w:rsidRPr="009C6DA3" w:rsidRDefault="00C0767B" w:rsidP="008F32E7">
      <w:pPr>
        <w:ind w:left="-5" w:right="0"/>
        <w:rPr>
          <w:lang w:val="ro-RO"/>
        </w:rPr>
      </w:pPr>
      <w:r w:rsidRPr="009C6DA3">
        <w:rPr>
          <w:lang w:val="ro-RO"/>
        </w:rPr>
        <w:t xml:space="preserve">Termen estimat pentru finalizarea etapei de verificare </w:t>
      </w:r>
      <w:r w:rsidR="00EC71BF">
        <w:rPr>
          <w:lang w:val="ro-RO"/>
        </w:rPr>
        <w:t>ș</w:t>
      </w:r>
      <w:r w:rsidRPr="009C6DA3">
        <w:rPr>
          <w:lang w:val="ro-RO"/>
        </w:rPr>
        <w:t>i contractare: 31 decembrie 2022.</w:t>
      </w:r>
      <w:r w:rsidR="002537F7">
        <w:rPr>
          <w:lang w:val="ro-RO"/>
        </w:rPr>
        <w:t>”</w:t>
      </w:r>
      <w:r w:rsidRPr="009C6DA3">
        <w:rPr>
          <w:lang w:val="ro-RO"/>
        </w:rPr>
        <w:t xml:space="preserve">  </w:t>
      </w:r>
    </w:p>
    <w:p w14:paraId="290D8949" w14:textId="05DA0FD2" w:rsidR="00ED431E" w:rsidRPr="009C6DA3" w:rsidRDefault="00ED431E" w:rsidP="008F32E7">
      <w:pPr>
        <w:spacing w:after="0" w:line="259" w:lineRule="auto"/>
        <w:ind w:left="0" w:right="0" w:firstLine="0"/>
        <w:rPr>
          <w:lang w:val="ro-RO"/>
        </w:rPr>
      </w:pPr>
    </w:p>
    <w:p w14:paraId="075890DC" w14:textId="4A9207CE" w:rsidR="00ED431E" w:rsidRPr="009C6DA3" w:rsidRDefault="00273B42" w:rsidP="00273B42">
      <w:pPr>
        <w:spacing w:after="0" w:line="258" w:lineRule="auto"/>
        <w:ind w:right="0"/>
        <w:rPr>
          <w:lang w:val="ro-RO"/>
        </w:rPr>
      </w:pPr>
      <w:r>
        <w:rPr>
          <w:lang w:val="ro-RO"/>
        </w:rPr>
        <w:lastRenderedPageBreak/>
        <w:t xml:space="preserve">3. </w:t>
      </w:r>
      <w:r w:rsidR="002F6CA0">
        <w:rPr>
          <w:lang w:val="ro-RO"/>
        </w:rPr>
        <w:t xml:space="preserve">La </w:t>
      </w:r>
      <w:r w:rsidR="00C0767B" w:rsidRPr="009C6DA3">
        <w:rPr>
          <w:lang w:val="ro-RO"/>
        </w:rPr>
        <w:t>Sec</w:t>
      </w:r>
      <w:r w:rsidR="00EC71BF">
        <w:rPr>
          <w:lang w:val="ro-RO"/>
        </w:rPr>
        <w:t>ț</w:t>
      </w:r>
      <w:r w:rsidR="00C0767B" w:rsidRPr="009C6DA3">
        <w:rPr>
          <w:lang w:val="ro-RO"/>
        </w:rPr>
        <w:t xml:space="preserve">iunea </w:t>
      </w:r>
      <w:r w:rsidR="00C0767B" w:rsidRPr="009C6DA3">
        <w:rPr>
          <w:b/>
          <w:lang w:val="ro-RO"/>
        </w:rPr>
        <w:t>2.5 Sumele alocate pentru apelul de proiecte</w:t>
      </w:r>
      <w:r w:rsidR="002537F7">
        <w:rPr>
          <w:b/>
          <w:lang w:val="ro-RO"/>
        </w:rPr>
        <w:t>, după ultimul paragraf</w:t>
      </w:r>
      <w:r w:rsidR="00C0767B" w:rsidRPr="009C6DA3">
        <w:rPr>
          <w:b/>
          <w:lang w:val="ro-RO"/>
        </w:rPr>
        <w:t xml:space="preserve"> </w:t>
      </w:r>
      <w:r w:rsidR="00C0767B" w:rsidRPr="009C6DA3">
        <w:rPr>
          <w:lang w:val="ro-RO"/>
        </w:rPr>
        <w:t xml:space="preserve">se </w:t>
      </w:r>
      <w:r w:rsidR="002537F7">
        <w:rPr>
          <w:lang w:val="ro-RO"/>
        </w:rPr>
        <w:t xml:space="preserve">introduc </w:t>
      </w:r>
      <w:r w:rsidR="00C0767B" w:rsidRPr="009C6DA3">
        <w:rPr>
          <w:lang w:val="ro-RO"/>
        </w:rPr>
        <w:t xml:space="preserve"> </w:t>
      </w:r>
      <w:r w:rsidR="00A82773" w:rsidRPr="001E0B1F">
        <w:rPr>
          <w:color w:val="auto"/>
          <w:lang w:val="ro-RO"/>
        </w:rPr>
        <w:t xml:space="preserve">cu </w:t>
      </w:r>
      <w:r w:rsidR="004C58D9" w:rsidRPr="001E0B1F">
        <w:rPr>
          <w:color w:val="auto"/>
          <w:lang w:val="ro-RO"/>
        </w:rPr>
        <w:t>dou</w:t>
      </w:r>
      <w:r w:rsidR="00EC71BF">
        <w:rPr>
          <w:color w:val="auto"/>
          <w:lang w:val="ro-RO"/>
        </w:rPr>
        <w:t>ă</w:t>
      </w:r>
      <w:r w:rsidR="004C58D9" w:rsidRPr="001E0B1F">
        <w:rPr>
          <w:color w:val="auto"/>
          <w:lang w:val="ro-RO"/>
        </w:rPr>
        <w:t xml:space="preserve"> </w:t>
      </w:r>
      <w:r w:rsidR="00A82773" w:rsidRPr="001E0B1F">
        <w:rPr>
          <w:color w:val="auto"/>
          <w:lang w:val="ro-RO"/>
        </w:rPr>
        <w:t>noi paragrafe</w:t>
      </w:r>
      <w:r w:rsidR="00805155" w:rsidRPr="001E0B1F">
        <w:rPr>
          <w:color w:val="auto"/>
          <w:lang w:val="ro-RO"/>
        </w:rPr>
        <w:t>,</w:t>
      </w:r>
      <w:r w:rsidR="00A82773" w:rsidRPr="001E0B1F">
        <w:rPr>
          <w:color w:val="auto"/>
          <w:lang w:val="ro-RO"/>
        </w:rPr>
        <w:t xml:space="preserve"> cu urm</w:t>
      </w:r>
      <w:r w:rsidR="00EC71BF">
        <w:rPr>
          <w:color w:val="auto"/>
          <w:lang w:val="ro-RO"/>
        </w:rPr>
        <w:t>ă</w:t>
      </w:r>
      <w:r w:rsidR="00A82773" w:rsidRPr="001E0B1F">
        <w:rPr>
          <w:color w:val="auto"/>
          <w:lang w:val="ro-RO"/>
        </w:rPr>
        <w:t>torul cuprins</w:t>
      </w:r>
      <w:r w:rsidR="00C0767B" w:rsidRPr="009C6DA3">
        <w:rPr>
          <w:lang w:val="ro-RO"/>
        </w:rPr>
        <w:t xml:space="preserve">: </w:t>
      </w:r>
    </w:p>
    <w:p w14:paraId="6BBA0B81" w14:textId="77777777" w:rsidR="00ED431E" w:rsidRPr="009C6DA3" w:rsidRDefault="00C0767B" w:rsidP="008F32E7">
      <w:pPr>
        <w:spacing w:after="0" w:line="259" w:lineRule="auto"/>
        <w:ind w:left="0" w:right="0" w:firstLine="0"/>
        <w:rPr>
          <w:lang w:val="ro-RO"/>
        </w:rPr>
      </w:pPr>
      <w:r w:rsidRPr="009C6DA3">
        <w:rPr>
          <w:lang w:val="ro-RO"/>
        </w:rPr>
        <w:t xml:space="preserve"> </w:t>
      </w:r>
    </w:p>
    <w:p w14:paraId="65B22C86" w14:textId="5D1B8231" w:rsidR="001E0B1F" w:rsidRDefault="001E0B1F" w:rsidP="009E165B">
      <w:pPr>
        <w:spacing w:after="3" w:line="258" w:lineRule="auto"/>
        <w:ind w:left="-5" w:right="0"/>
        <w:rPr>
          <w:lang w:val="ro-RO"/>
        </w:rPr>
      </w:pPr>
      <w:r>
        <w:rPr>
          <w:lang w:val="ro-RO"/>
        </w:rPr>
        <w:t>„</w:t>
      </w:r>
      <w:r w:rsidR="00EC71BF">
        <w:rPr>
          <w:lang w:val="ro-RO"/>
        </w:rPr>
        <w:t>Î</w:t>
      </w:r>
      <w:r w:rsidR="00C0767B" w:rsidRPr="009C6DA3">
        <w:rPr>
          <w:lang w:val="ro-RO"/>
        </w:rPr>
        <w:t>n cadrul rundei a doua de atragere de fonduri pentru investi</w:t>
      </w:r>
      <w:r w:rsidR="00EC71BF">
        <w:rPr>
          <w:lang w:val="ro-RO"/>
        </w:rPr>
        <w:t>ț</w:t>
      </w:r>
      <w:r w:rsidR="00C0767B" w:rsidRPr="009C6DA3">
        <w:rPr>
          <w:lang w:val="ro-RO"/>
        </w:rPr>
        <w:t xml:space="preserve">iile incluse </w:t>
      </w:r>
      <w:r w:rsidR="00EC71BF">
        <w:rPr>
          <w:lang w:val="ro-RO"/>
        </w:rPr>
        <w:t>î</w:t>
      </w:r>
      <w:r w:rsidR="00C0767B" w:rsidRPr="009C6DA3">
        <w:rPr>
          <w:lang w:val="ro-RO"/>
        </w:rPr>
        <w:t>n Componenta 10-Fondul local, alocarea financiar</w:t>
      </w:r>
      <w:r w:rsidR="00EC71BF">
        <w:rPr>
          <w:lang w:val="ro-RO"/>
        </w:rPr>
        <w:t>ă</w:t>
      </w:r>
      <w:r w:rsidR="00C0767B" w:rsidRPr="009C6DA3">
        <w:rPr>
          <w:lang w:val="ro-RO"/>
        </w:rPr>
        <w:t xml:space="preserve"> </w:t>
      </w:r>
      <w:r w:rsidR="009E165B">
        <w:rPr>
          <w:lang w:val="ro-RO"/>
        </w:rPr>
        <w:t>estimat</w:t>
      </w:r>
      <w:r w:rsidR="00EC71BF">
        <w:rPr>
          <w:lang w:val="ro-RO"/>
        </w:rPr>
        <w:t>ă</w:t>
      </w:r>
      <w:r w:rsidR="009E165B">
        <w:rPr>
          <w:lang w:val="ro-RO"/>
        </w:rPr>
        <w:t xml:space="preserve"> este de:</w:t>
      </w:r>
    </w:p>
    <w:p w14:paraId="7F63100E" w14:textId="0B7781A1" w:rsidR="00ED431E" w:rsidRPr="009C6DA3" w:rsidRDefault="008F32E7" w:rsidP="008F32E7">
      <w:pPr>
        <w:spacing w:after="157" w:line="259" w:lineRule="auto"/>
        <w:ind w:left="0" w:right="0" w:firstLine="0"/>
        <w:rPr>
          <w:lang w:val="ro-RO"/>
        </w:rPr>
      </w:pPr>
      <w:r>
        <w:rPr>
          <w:lang w:val="ro-RO"/>
        </w:rPr>
        <w:t>I</w:t>
      </w:r>
      <w:r w:rsidR="00C0767B" w:rsidRPr="009C6DA3">
        <w:rPr>
          <w:lang w:val="ro-RO"/>
        </w:rPr>
        <w:t>nvesti</w:t>
      </w:r>
      <w:r w:rsidR="00EC71BF">
        <w:rPr>
          <w:lang w:val="ro-RO"/>
        </w:rPr>
        <w:t>ț</w:t>
      </w:r>
      <w:r w:rsidR="00C0767B" w:rsidRPr="009C6DA3">
        <w:rPr>
          <w:lang w:val="ro-RO"/>
        </w:rPr>
        <w:t xml:space="preserve">ia 1 - </w:t>
      </w:r>
      <w:r w:rsidR="00C0767B" w:rsidRPr="009C6DA3">
        <w:rPr>
          <w:i/>
          <w:lang w:val="ro-RO"/>
        </w:rPr>
        <w:t>Mobilitate Urban</w:t>
      </w:r>
      <w:r w:rsidR="00EC71BF">
        <w:rPr>
          <w:i/>
          <w:lang w:val="ro-RO"/>
        </w:rPr>
        <w:t>ă</w:t>
      </w:r>
      <w:r w:rsidR="00C0767B" w:rsidRPr="009C6DA3">
        <w:rPr>
          <w:i/>
          <w:lang w:val="ro-RO"/>
        </w:rPr>
        <w:t xml:space="preserve"> Durabil</w:t>
      </w:r>
      <w:r w:rsidR="00EC71BF">
        <w:rPr>
          <w:i/>
          <w:lang w:val="ro-RO"/>
        </w:rPr>
        <w:t>ă</w:t>
      </w:r>
      <w:r>
        <w:rPr>
          <w:lang w:val="ro-RO"/>
        </w:rPr>
        <w:t>:</w:t>
      </w:r>
    </w:p>
    <w:p w14:paraId="166BE133" w14:textId="5F424DB7" w:rsidR="00ED431E" w:rsidRPr="009C6DA3" w:rsidRDefault="00C0767B" w:rsidP="008F32E7">
      <w:pPr>
        <w:spacing w:after="161" w:line="258" w:lineRule="auto"/>
        <w:ind w:left="-5" w:right="0"/>
        <w:rPr>
          <w:lang w:val="ro-RO"/>
        </w:rPr>
      </w:pPr>
      <w:r w:rsidRPr="009C6DA3">
        <w:rPr>
          <w:b/>
          <w:lang w:val="ro-RO"/>
        </w:rPr>
        <w:t xml:space="preserve">I.1.1 -  </w:t>
      </w:r>
      <w:r w:rsidR="00EC71BF">
        <w:rPr>
          <w:b/>
          <w:lang w:val="ro-RO"/>
        </w:rPr>
        <w:t>Î</w:t>
      </w:r>
      <w:r w:rsidRPr="009C6DA3">
        <w:rPr>
          <w:b/>
          <w:lang w:val="ro-RO"/>
        </w:rPr>
        <w:t>nnoirea parcului de vehicule destinate transportului public (achizi</w:t>
      </w:r>
      <w:r w:rsidR="00EC71BF">
        <w:rPr>
          <w:b/>
          <w:lang w:val="ro-RO"/>
        </w:rPr>
        <w:t>ț</w:t>
      </w:r>
      <w:r w:rsidRPr="009C6DA3">
        <w:rPr>
          <w:b/>
          <w:lang w:val="ro-RO"/>
        </w:rPr>
        <w:t>ia</w:t>
      </w:r>
      <w:r>
        <w:rPr>
          <w:b/>
          <w:lang w:val="ro-RO"/>
        </w:rPr>
        <w:t xml:space="preserve"> de vehicule nepoluante); Buget</w:t>
      </w:r>
      <w:r w:rsidR="001E0B1F">
        <w:rPr>
          <w:b/>
          <w:lang w:val="ro-RO"/>
        </w:rPr>
        <w:t xml:space="preserve"> </w:t>
      </w:r>
      <w:r w:rsidRPr="009C6DA3">
        <w:rPr>
          <w:b/>
          <w:lang w:val="ro-RO"/>
        </w:rPr>
        <w:t>disponibil:</w:t>
      </w:r>
      <w:r w:rsidRPr="009C6DA3">
        <w:rPr>
          <w:lang w:val="ro-RO"/>
        </w:rPr>
        <w:t xml:space="preserve"> </w:t>
      </w:r>
      <w:r w:rsidRPr="009C6DA3">
        <w:rPr>
          <w:b/>
          <w:lang w:val="ro-RO"/>
        </w:rPr>
        <w:t xml:space="preserve">238.140.000 </w:t>
      </w:r>
      <w:r w:rsidR="004E2F87">
        <w:rPr>
          <w:b/>
          <w:lang w:val="ro-RO"/>
        </w:rPr>
        <w:t>euro</w:t>
      </w:r>
      <w:r w:rsidRPr="009C6DA3">
        <w:rPr>
          <w:b/>
          <w:lang w:val="ro-RO"/>
        </w:rPr>
        <w:t xml:space="preserve"> din care: </w:t>
      </w:r>
    </w:p>
    <w:p w14:paraId="43AB1B99" w14:textId="0DAC4431" w:rsidR="00ED431E" w:rsidRPr="009C6DA3" w:rsidRDefault="00C0767B" w:rsidP="008F32E7">
      <w:pPr>
        <w:numPr>
          <w:ilvl w:val="3"/>
          <w:numId w:val="4"/>
        </w:numPr>
        <w:spacing w:after="3" w:line="258" w:lineRule="auto"/>
        <w:ind w:right="0" w:hanging="360"/>
        <w:rPr>
          <w:lang w:val="ro-RO"/>
        </w:rPr>
      </w:pPr>
      <w:r w:rsidRPr="009C6DA3">
        <w:rPr>
          <w:lang w:val="ro-RO"/>
        </w:rPr>
        <w:t xml:space="preserve">Microbuze: 32.930.000 </w:t>
      </w:r>
      <w:r w:rsidR="002F6CA0">
        <w:rPr>
          <w:lang w:val="ro-RO"/>
        </w:rPr>
        <w:t>euro</w:t>
      </w:r>
      <w:r w:rsidRPr="009C6DA3">
        <w:rPr>
          <w:lang w:val="ro-RO"/>
        </w:rPr>
        <w:t xml:space="preserve"> </w:t>
      </w:r>
    </w:p>
    <w:p w14:paraId="164E8DA8" w14:textId="24C0D60F" w:rsidR="00ED431E" w:rsidRPr="009C6DA3" w:rsidRDefault="00C0767B" w:rsidP="008F32E7">
      <w:pPr>
        <w:numPr>
          <w:ilvl w:val="3"/>
          <w:numId w:val="4"/>
        </w:numPr>
        <w:spacing w:after="3" w:line="258" w:lineRule="auto"/>
        <w:ind w:right="0" w:hanging="360"/>
        <w:rPr>
          <w:lang w:val="ro-RO"/>
        </w:rPr>
      </w:pPr>
      <w:r w:rsidRPr="009C6DA3">
        <w:rPr>
          <w:lang w:val="ro-RO"/>
        </w:rPr>
        <w:t xml:space="preserve">Tramvaie: 93.510.000 </w:t>
      </w:r>
      <w:r w:rsidR="002F6CA0">
        <w:rPr>
          <w:lang w:val="ro-RO"/>
        </w:rPr>
        <w:t>euro</w:t>
      </w:r>
    </w:p>
    <w:p w14:paraId="5E9D2E09" w14:textId="14E0B127" w:rsidR="00ED431E" w:rsidRPr="009C6DA3" w:rsidRDefault="00C0767B" w:rsidP="008F32E7">
      <w:pPr>
        <w:numPr>
          <w:ilvl w:val="3"/>
          <w:numId w:val="4"/>
        </w:numPr>
        <w:spacing w:after="3" w:line="258" w:lineRule="auto"/>
        <w:ind w:right="0" w:hanging="360"/>
        <w:rPr>
          <w:lang w:val="ro-RO"/>
        </w:rPr>
      </w:pPr>
      <w:r w:rsidRPr="009C6DA3">
        <w:rPr>
          <w:lang w:val="ro-RO"/>
        </w:rPr>
        <w:t xml:space="preserve">Troleibuze: 4.460.000 </w:t>
      </w:r>
      <w:r w:rsidR="002F6CA0">
        <w:rPr>
          <w:lang w:val="ro-RO"/>
        </w:rPr>
        <w:t>euro</w:t>
      </w:r>
    </w:p>
    <w:p w14:paraId="4EFBFE76" w14:textId="0AF8E563" w:rsidR="00ED431E" w:rsidRPr="009C6DA3" w:rsidRDefault="00C0767B" w:rsidP="008F32E7">
      <w:pPr>
        <w:numPr>
          <w:ilvl w:val="3"/>
          <w:numId w:val="4"/>
        </w:numPr>
        <w:spacing w:after="160" w:line="258" w:lineRule="auto"/>
        <w:ind w:right="0" w:hanging="360"/>
        <w:rPr>
          <w:lang w:val="ro-RO"/>
        </w:rPr>
      </w:pPr>
      <w:r w:rsidRPr="009C6DA3">
        <w:rPr>
          <w:lang w:val="ro-RO"/>
        </w:rPr>
        <w:t xml:space="preserve">Autobuze 10m: 107.240.000 </w:t>
      </w:r>
      <w:r w:rsidR="002F6CA0">
        <w:rPr>
          <w:lang w:val="ro-RO"/>
        </w:rPr>
        <w:t>euro</w:t>
      </w:r>
    </w:p>
    <w:p w14:paraId="345DE3FD" w14:textId="0984ADA2" w:rsidR="006B4B41" w:rsidRDefault="003A3880" w:rsidP="00273B42">
      <w:pPr>
        <w:spacing w:after="161" w:line="258" w:lineRule="auto"/>
        <w:ind w:right="0"/>
        <w:rPr>
          <w:b/>
          <w:lang w:val="ro-RO"/>
        </w:rPr>
      </w:pPr>
      <w:r>
        <w:rPr>
          <w:b/>
          <w:lang w:val="ro-RO"/>
        </w:rPr>
        <w:t>I</w:t>
      </w:r>
      <w:r w:rsidR="008F32E7">
        <w:rPr>
          <w:b/>
          <w:lang w:val="ro-RO"/>
        </w:rPr>
        <w:t>.</w:t>
      </w:r>
      <w:r>
        <w:rPr>
          <w:b/>
          <w:lang w:val="ro-RO"/>
        </w:rPr>
        <w:t xml:space="preserve">1.2 </w:t>
      </w:r>
      <w:r w:rsidR="00C0767B" w:rsidRPr="009C6DA3">
        <w:rPr>
          <w:b/>
          <w:lang w:val="ro-RO"/>
        </w:rPr>
        <w:t xml:space="preserve">-  Asigurarea infrastructurii pentru transportul verde – ITS/alte infrastructuri TIC (sisteme inteligente de management urban/local); Buget disponibil: </w:t>
      </w:r>
      <w:r w:rsidR="006B4B41">
        <w:rPr>
          <w:b/>
          <w:lang w:val="ro-RO"/>
        </w:rPr>
        <w:t>74</w:t>
      </w:r>
      <w:r w:rsidR="00C0767B" w:rsidRPr="009C6DA3">
        <w:rPr>
          <w:b/>
          <w:lang w:val="ro-RO"/>
        </w:rPr>
        <w:t>.</w:t>
      </w:r>
      <w:r w:rsidR="006B4B41">
        <w:rPr>
          <w:b/>
          <w:lang w:val="ro-RO"/>
        </w:rPr>
        <w:t>720</w:t>
      </w:r>
      <w:r w:rsidR="00C0767B" w:rsidRPr="009C6DA3">
        <w:rPr>
          <w:b/>
          <w:lang w:val="ro-RO"/>
        </w:rPr>
        <w:t>.000</w:t>
      </w:r>
      <w:r w:rsidR="004E2F87">
        <w:rPr>
          <w:b/>
          <w:lang w:val="ro-RO"/>
        </w:rPr>
        <w:t xml:space="preserve"> euro</w:t>
      </w:r>
      <w:r w:rsidR="006B4B41">
        <w:rPr>
          <w:b/>
          <w:lang w:val="ro-RO"/>
        </w:rPr>
        <w:t>, din care:</w:t>
      </w:r>
    </w:p>
    <w:p w14:paraId="110022B3" w14:textId="4205C8D6" w:rsidR="006B4B41" w:rsidRDefault="006B4B41" w:rsidP="008F32E7">
      <w:pPr>
        <w:numPr>
          <w:ilvl w:val="3"/>
          <w:numId w:val="4"/>
        </w:numPr>
        <w:spacing w:after="3" w:line="258" w:lineRule="auto"/>
        <w:ind w:right="0" w:hanging="360"/>
        <w:rPr>
          <w:lang w:val="ro-RO"/>
        </w:rPr>
      </w:pPr>
      <w:r w:rsidRPr="006B4B41">
        <w:rPr>
          <w:lang w:val="ro-RO"/>
        </w:rPr>
        <w:t xml:space="preserve">ITS: 70.520.000 </w:t>
      </w:r>
      <w:r w:rsidR="004E2F87">
        <w:rPr>
          <w:lang w:val="ro-RO"/>
        </w:rPr>
        <w:t>euro</w:t>
      </w:r>
    </w:p>
    <w:p w14:paraId="4D3FF2EF" w14:textId="72F6A14A" w:rsidR="006B4B41" w:rsidRPr="006B4B41" w:rsidRDefault="006B4B41" w:rsidP="008F32E7">
      <w:pPr>
        <w:numPr>
          <w:ilvl w:val="3"/>
          <w:numId w:val="4"/>
        </w:numPr>
        <w:spacing w:after="3" w:line="258" w:lineRule="auto"/>
        <w:ind w:right="0" w:hanging="360"/>
        <w:rPr>
          <w:lang w:val="ro-RO"/>
        </w:rPr>
      </w:pPr>
      <w:r>
        <w:rPr>
          <w:lang w:val="ro-RO"/>
        </w:rPr>
        <w:t xml:space="preserve">Alte infrastructuri TIC: 4.200.000 </w:t>
      </w:r>
      <w:r w:rsidR="004E2F87">
        <w:rPr>
          <w:lang w:val="ro-RO"/>
        </w:rPr>
        <w:t>euro</w:t>
      </w:r>
    </w:p>
    <w:p w14:paraId="2957A6B9" w14:textId="7A969522" w:rsidR="00ED431E" w:rsidRPr="009C6DA3" w:rsidRDefault="003A3880" w:rsidP="008F32E7">
      <w:pPr>
        <w:spacing w:after="159" w:line="258" w:lineRule="auto"/>
        <w:ind w:right="0"/>
        <w:rPr>
          <w:lang w:val="ro-RO"/>
        </w:rPr>
      </w:pPr>
      <w:r>
        <w:rPr>
          <w:b/>
          <w:lang w:val="ro-RO"/>
        </w:rPr>
        <w:t>I</w:t>
      </w:r>
      <w:r w:rsidR="008F32E7">
        <w:rPr>
          <w:b/>
          <w:lang w:val="ro-RO"/>
        </w:rPr>
        <w:t>.</w:t>
      </w:r>
      <w:r>
        <w:rPr>
          <w:b/>
          <w:lang w:val="ro-RO"/>
        </w:rPr>
        <w:t xml:space="preserve">1.3 </w:t>
      </w:r>
      <w:r w:rsidR="00C0767B" w:rsidRPr="009C6DA3">
        <w:rPr>
          <w:b/>
          <w:lang w:val="ro-RO"/>
        </w:rPr>
        <w:t>-  Asigurarea infrastructurii pentru transportul verde – puncte de re</w:t>
      </w:r>
      <w:r w:rsidR="00EC71BF">
        <w:rPr>
          <w:b/>
          <w:lang w:val="ro-RO"/>
        </w:rPr>
        <w:t>î</w:t>
      </w:r>
      <w:r w:rsidR="00C0767B" w:rsidRPr="009C6DA3">
        <w:rPr>
          <w:b/>
          <w:lang w:val="ro-RO"/>
        </w:rPr>
        <w:t>nc</w:t>
      </w:r>
      <w:r w:rsidR="00EC71BF">
        <w:rPr>
          <w:b/>
          <w:lang w:val="ro-RO"/>
        </w:rPr>
        <w:t>ă</w:t>
      </w:r>
      <w:r w:rsidR="00C0767B" w:rsidRPr="009C6DA3">
        <w:rPr>
          <w:b/>
          <w:lang w:val="ro-RO"/>
        </w:rPr>
        <w:t xml:space="preserve">rcare vehicule electrice; Buget disponibil: </w:t>
      </w:r>
      <w:r w:rsidR="009E165B">
        <w:rPr>
          <w:b/>
          <w:lang w:val="ro-RO"/>
        </w:rPr>
        <w:t>27.90</w:t>
      </w:r>
      <w:r w:rsidR="009E165B" w:rsidRPr="008F32E7">
        <w:rPr>
          <w:b/>
          <w:lang w:val="ro-RO"/>
        </w:rPr>
        <w:t>0.000</w:t>
      </w:r>
      <w:r w:rsidR="004E2F87">
        <w:rPr>
          <w:b/>
          <w:lang w:val="ro-RO"/>
        </w:rPr>
        <w:t xml:space="preserve"> euro</w:t>
      </w:r>
      <w:r w:rsidR="00C0767B" w:rsidRPr="008F32E7">
        <w:rPr>
          <w:b/>
          <w:lang w:val="ro-RO"/>
        </w:rPr>
        <w:t>.</w:t>
      </w:r>
      <w:r w:rsidR="00C0767B" w:rsidRPr="009C6DA3">
        <w:rPr>
          <w:b/>
          <w:lang w:val="ro-RO"/>
        </w:rPr>
        <w:t xml:space="preserve"> </w:t>
      </w:r>
    </w:p>
    <w:p w14:paraId="22A3D044" w14:textId="7DE41FED" w:rsidR="00ED431E" w:rsidRPr="009C6DA3" w:rsidRDefault="006B4B41" w:rsidP="008F32E7">
      <w:pPr>
        <w:spacing w:after="161" w:line="258" w:lineRule="auto"/>
        <w:ind w:right="0"/>
        <w:rPr>
          <w:lang w:val="ro-RO"/>
        </w:rPr>
      </w:pPr>
      <w:r>
        <w:rPr>
          <w:b/>
          <w:lang w:val="ro-RO"/>
        </w:rPr>
        <w:t>I</w:t>
      </w:r>
      <w:r w:rsidR="008F32E7">
        <w:rPr>
          <w:b/>
          <w:lang w:val="ro-RO"/>
        </w:rPr>
        <w:t>.</w:t>
      </w:r>
      <w:r>
        <w:rPr>
          <w:b/>
          <w:lang w:val="ro-RO"/>
        </w:rPr>
        <w:t xml:space="preserve">1.4 </w:t>
      </w:r>
      <w:r w:rsidR="00C0767B" w:rsidRPr="009C6DA3">
        <w:rPr>
          <w:b/>
          <w:lang w:val="ro-RO"/>
        </w:rPr>
        <w:t xml:space="preserve">-  Asigurarea infrastructurii pentru transportul verde – piste pentru biciclete la nivel local/metropolitan; Buget </w:t>
      </w:r>
      <w:r w:rsidR="001E0B1F">
        <w:rPr>
          <w:b/>
          <w:lang w:val="ro-RO"/>
        </w:rPr>
        <w:t>disponibil</w:t>
      </w:r>
      <w:r w:rsidR="00C0767B" w:rsidRPr="009C6DA3">
        <w:rPr>
          <w:b/>
          <w:lang w:val="ro-RO"/>
        </w:rPr>
        <w:t>:</w:t>
      </w:r>
      <w:r w:rsidR="00C0767B" w:rsidRPr="009C6DA3">
        <w:rPr>
          <w:lang w:val="ro-RO"/>
        </w:rPr>
        <w:t xml:space="preserve"> </w:t>
      </w:r>
      <w:r w:rsidR="009E165B">
        <w:rPr>
          <w:b/>
          <w:lang w:val="ro-RO"/>
        </w:rPr>
        <w:t>31.450</w:t>
      </w:r>
      <w:r w:rsidR="00C0767B" w:rsidRPr="008F32E7">
        <w:rPr>
          <w:b/>
          <w:lang w:val="ro-RO"/>
        </w:rPr>
        <w:t>.000</w:t>
      </w:r>
      <w:r w:rsidR="004E2F87">
        <w:rPr>
          <w:b/>
          <w:lang w:val="ro-RO"/>
        </w:rPr>
        <w:t xml:space="preserve"> euro</w:t>
      </w:r>
      <w:r w:rsidR="00C0767B" w:rsidRPr="008F32E7">
        <w:rPr>
          <w:b/>
          <w:lang w:val="ro-RO"/>
        </w:rPr>
        <w:t>.</w:t>
      </w:r>
      <w:r w:rsidR="00C0767B" w:rsidRPr="009C6DA3">
        <w:rPr>
          <w:b/>
          <w:lang w:val="ro-RO"/>
        </w:rPr>
        <w:t xml:space="preserve"> </w:t>
      </w:r>
    </w:p>
    <w:p w14:paraId="01797801" w14:textId="33A9BA90" w:rsidR="00ED431E" w:rsidRPr="008F32E7" w:rsidRDefault="008F32E7" w:rsidP="008F32E7">
      <w:pPr>
        <w:spacing w:after="159" w:line="258" w:lineRule="auto"/>
        <w:ind w:right="0" w:firstLine="0"/>
        <w:rPr>
          <w:b/>
          <w:lang w:val="ro-RO"/>
        </w:rPr>
      </w:pPr>
      <w:r>
        <w:rPr>
          <w:b/>
          <w:lang w:val="ro-RO"/>
        </w:rPr>
        <w:t>Investi</w:t>
      </w:r>
      <w:r w:rsidR="00EC71BF">
        <w:rPr>
          <w:b/>
          <w:lang w:val="ro-RO"/>
        </w:rPr>
        <w:t>ț</w:t>
      </w:r>
      <w:r>
        <w:rPr>
          <w:b/>
          <w:lang w:val="ro-RO"/>
        </w:rPr>
        <w:t>ia I.</w:t>
      </w:r>
      <w:r w:rsidR="003A3880">
        <w:rPr>
          <w:b/>
          <w:lang w:val="ro-RO"/>
        </w:rPr>
        <w:t>2</w:t>
      </w:r>
      <w:r w:rsidR="00C0767B" w:rsidRPr="009C6DA3">
        <w:rPr>
          <w:b/>
          <w:lang w:val="ro-RO"/>
        </w:rPr>
        <w:t>– Construirea de locuin</w:t>
      </w:r>
      <w:r w:rsidR="00EC71BF">
        <w:rPr>
          <w:b/>
          <w:lang w:val="ro-RO"/>
        </w:rPr>
        <w:t>ț</w:t>
      </w:r>
      <w:r w:rsidR="00C0767B" w:rsidRPr="009C6DA3">
        <w:rPr>
          <w:b/>
          <w:lang w:val="ro-RO"/>
        </w:rPr>
        <w:t>e nZEB plus - pentru tineri/locuin</w:t>
      </w:r>
      <w:r w:rsidR="00EC71BF">
        <w:rPr>
          <w:b/>
          <w:lang w:val="ro-RO"/>
        </w:rPr>
        <w:t>ț</w:t>
      </w:r>
      <w:r w:rsidR="00C0767B" w:rsidRPr="009C6DA3">
        <w:rPr>
          <w:b/>
          <w:lang w:val="ro-RO"/>
        </w:rPr>
        <w:t>e de serviciu pentru speciali</w:t>
      </w:r>
      <w:r w:rsidR="00EC71BF">
        <w:rPr>
          <w:b/>
          <w:lang w:val="ro-RO"/>
        </w:rPr>
        <w:t>ș</w:t>
      </w:r>
      <w:r w:rsidR="00C0767B" w:rsidRPr="009C6DA3">
        <w:rPr>
          <w:b/>
          <w:lang w:val="ro-RO"/>
        </w:rPr>
        <w:t>ti din s</w:t>
      </w:r>
      <w:r w:rsidR="00EC71BF">
        <w:rPr>
          <w:b/>
          <w:lang w:val="ro-RO"/>
        </w:rPr>
        <w:t>ă</w:t>
      </w:r>
      <w:r w:rsidR="00C0767B" w:rsidRPr="009C6DA3">
        <w:rPr>
          <w:b/>
          <w:lang w:val="ro-RO"/>
        </w:rPr>
        <w:t>n</w:t>
      </w:r>
      <w:r w:rsidR="00EC71BF">
        <w:rPr>
          <w:b/>
          <w:lang w:val="ro-RO"/>
        </w:rPr>
        <w:t>ă</w:t>
      </w:r>
      <w:r w:rsidR="00C0767B" w:rsidRPr="009C6DA3">
        <w:rPr>
          <w:b/>
          <w:lang w:val="ro-RO"/>
        </w:rPr>
        <w:t xml:space="preserve">tate </w:t>
      </w:r>
      <w:r w:rsidR="00EC71BF">
        <w:rPr>
          <w:b/>
          <w:lang w:val="ro-RO"/>
        </w:rPr>
        <w:t>ș</w:t>
      </w:r>
      <w:r w:rsidR="00C0767B" w:rsidRPr="009C6DA3">
        <w:rPr>
          <w:b/>
          <w:lang w:val="ro-RO"/>
        </w:rPr>
        <w:t xml:space="preserve">i </w:t>
      </w:r>
      <w:r w:rsidR="00EC71BF">
        <w:rPr>
          <w:b/>
          <w:lang w:val="ro-RO"/>
        </w:rPr>
        <w:t>î</w:t>
      </w:r>
      <w:r w:rsidR="00C0767B" w:rsidRPr="009C6DA3">
        <w:rPr>
          <w:b/>
          <w:lang w:val="ro-RO"/>
        </w:rPr>
        <w:t>nv</w:t>
      </w:r>
      <w:r w:rsidR="00EC71BF">
        <w:rPr>
          <w:b/>
          <w:lang w:val="ro-RO"/>
        </w:rPr>
        <w:t>ăță</w:t>
      </w:r>
      <w:r w:rsidR="00C0767B" w:rsidRPr="009C6DA3">
        <w:rPr>
          <w:b/>
          <w:lang w:val="ro-RO"/>
        </w:rPr>
        <w:t>m</w:t>
      </w:r>
      <w:r w:rsidR="00EC71BF">
        <w:rPr>
          <w:b/>
          <w:lang w:val="ro-RO"/>
        </w:rPr>
        <w:t>â</w:t>
      </w:r>
      <w:r w:rsidR="00C0767B" w:rsidRPr="009C6DA3">
        <w:rPr>
          <w:b/>
          <w:lang w:val="ro-RO"/>
        </w:rPr>
        <w:t xml:space="preserve">nt. Buget </w:t>
      </w:r>
      <w:r w:rsidR="001E0B1F">
        <w:rPr>
          <w:b/>
          <w:lang w:val="ro-RO"/>
        </w:rPr>
        <w:t>disponibil</w:t>
      </w:r>
      <w:r w:rsidR="00C0767B" w:rsidRPr="009C6DA3">
        <w:rPr>
          <w:b/>
          <w:lang w:val="ro-RO"/>
        </w:rPr>
        <w:t>:</w:t>
      </w:r>
      <w:r w:rsidR="00C0767B" w:rsidRPr="009C6DA3">
        <w:rPr>
          <w:lang w:val="ro-RO"/>
        </w:rPr>
        <w:t xml:space="preserve"> </w:t>
      </w:r>
      <w:r w:rsidR="006B4B41" w:rsidRPr="008F32E7">
        <w:rPr>
          <w:b/>
          <w:lang w:val="ro-RO"/>
        </w:rPr>
        <w:t>117</w:t>
      </w:r>
      <w:r w:rsidR="00C0767B" w:rsidRPr="008F32E7">
        <w:rPr>
          <w:b/>
          <w:lang w:val="ro-RO"/>
        </w:rPr>
        <w:t>.480.000</w:t>
      </w:r>
      <w:r w:rsidR="004E2F87">
        <w:rPr>
          <w:b/>
          <w:lang w:val="ro-RO"/>
        </w:rPr>
        <w:t xml:space="preserve"> euro</w:t>
      </w:r>
      <w:r w:rsidR="00C0767B" w:rsidRPr="008F32E7">
        <w:rPr>
          <w:b/>
          <w:lang w:val="ro-RO"/>
        </w:rPr>
        <w:t xml:space="preserve">. </w:t>
      </w:r>
    </w:p>
    <w:p w14:paraId="2BFD73CA" w14:textId="1166FCB5" w:rsidR="00ED431E" w:rsidRPr="009C6DA3" w:rsidRDefault="008F32E7" w:rsidP="008F32E7">
      <w:pPr>
        <w:spacing w:after="161" w:line="258" w:lineRule="auto"/>
        <w:ind w:right="0"/>
        <w:rPr>
          <w:lang w:val="ro-RO"/>
        </w:rPr>
      </w:pPr>
      <w:r>
        <w:rPr>
          <w:b/>
          <w:lang w:val="ro-RO"/>
        </w:rPr>
        <w:t>Investi</w:t>
      </w:r>
      <w:r w:rsidR="00EC71BF">
        <w:rPr>
          <w:b/>
          <w:lang w:val="ro-RO"/>
        </w:rPr>
        <w:t>ț</w:t>
      </w:r>
      <w:r>
        <w:rPr>
          <w:b/>
          <w:lang w:val="ro-RO"/>
        </w:rPr>
        <w:t xml:space="preserve">ia </w:t>
      </w:r>
      <w:r w:rsidR="003A3880">
        <w:rPr>
          <w:b/>
          <w:lang w:val="ro-RO"/>
        </w:rPr>
        <w:t>I</w:t>
      </w:r>
      <w:r>
        <w:rPr>
          <w:b/>
          <w:lang w:val="ro-RO"/>
        </w:rPr>
        <w:t>.</w:t>
      </w:r>
      <w:r w:rsidR="003A3880">
        <w:rPr>
          <w:b/>
          <w:lang w:val="ro-RO"/>
        </w:rPr>
        <w:t>3</w:t>
      </w:r>
      <w:r w:rsidR="00C0767B" w:rsidRPr="009C6DA3">
        <w:rPr>
          <w:b/>
          <w:lang w:val="ro-RO"/>
        </w:rPr>
        <w:t>– Reabilitare moderat</w:t>
      </w:r>
      <w:r w:rsidR="00EC71BF">
        <w:rPr>
          <w:b/>
          <w:lang w:val="ro-RO"/>
        </w:rPr>
        <w:t>ă</w:t>
      </w:r>
      <w:r w:rsidR="00C0767B" w:rsidRPr="009C6DA3">
        <w:rPr>
          <w:b/>
          <w:lang w:val="ro-RO"/>
        </w:rPr>
        <w:t xml:space="preserve"> a cl</w:t>
      </w:r>
      <w:r w:rsidR="00EC71BF">
        <w:rPr>
          <w:b/>
          <w:lang w:val="ro-RO"/>
        </w:rPr>
        <w:t>ă</w:t>
      </w:r>
      <w:r w:rsidR="00C0767B" w:rsidRPr="009C6DA3">
        <w:rPr>
          <w:b/>
          <w:lang w:val="ro-RO"/>
        </w:rPr>
        <w:t xml:space="preserve">dirilor publice pentru a </w:t>
      </w:r>
      <w:r w:rsidR="00EC71BF">
        <w:rPr>
          <w:b/>
          <w:lang w:val="ro-RO"/>
        </w:rPr>
        <w:t>î</w:t>
      </w:r>
      <w:r w:rsidR="00C0767B" w:rsidRPr="009C6DA3">
        <w:rPr>
          <w:b/>
          <w:lang w:val="ro-RO"/>
        </w:rPr>
        <w:t>mbun</w:t>
      </w:r>
      <w:r w:rsidR="00EC71BF">
        <w:rPr>
          <w:b/>
          <w:lang w:val="ro-RO"/>
        </w:rPr>
        <w:t>ă</w:t>
      </w:r>
      <w:r w:rsidR="00C0767B" w:rsidRPr="009C6DA3">
        <w:rPr>
          <w:b/>
          <w:lang w:val="ro-RO"/>
        </w:rPr>
        <w:t>t</w:t>
      </w:r>
      <w:r w:rsidR="00EC71BF">
        <w:rPr>
          <w:b/>
          <w:lang w:val="ro-RO"/>
        </w:rPr>
        <w:t>ăț</w:t>
      </w:r>
      <w:r w:rsidR="00C0767B" w:rsidRPr="009C6DA3">
        <w:rPr>
          <w:b/>
          <w:lang w:val="ro-RO"/>
        </w:rPr>
        <w:t>i furnizarea de servicii publice de c</w:t>
      </w:r>
      <w:r w:rsidR="00EC71BF">
        <w:rPr>
          <w:b/>
          <w:lang w:val="ro-RO"/>
        </w:rPr>
        <w:t>ă</w:t>
      </w:r>
      <w:r w:rsidR="00C0767B" w:rsidRPr="009C6DA3">
        <w:rPr>
          <w:b/>
          <w:lang w:val="ro-RO"/>
        </w:rPr>
        <w:t>tre unit</w:t>
      </w:r>
      <w:r w:rsidR="00EC71BF">
        <w:rPr>
          <w:b/>
          <w:lang w:val="ro-RO"/>
        </w:rPr>
        <w:t>ăț</w:t>
      </w:r>
      <w:r w:rsidR="00C0767B" w:rsidRPr="009C6DA3">
        <w:rPr>
          <w:b/>
          <w:lang w:val="ro-RO"/>
        </w:rPr>
        <w:t>ile administrativ-te</w:t>
      </w:r>
      <w:r w:rsidR="006B4B41">
        <w:rPr>
          <w:b/>
          <w:lang w:val="ro-RO"/>
        </w:rPr>
        <w:t xml:space="preserve">ritoriale. Buget </w:t>
      </w:r>
      <w:r w:rsidR="001E0B1F">
        <w:rPr>
          <w:b/>
          <w:lang w:val="ro-RO"/>
        </w:rPr>
        <w:t>disponibil</w:t>
      </w:r>
      <w:r w:rsidR="006B4B41">
        <w:rPr>
          <w:b/>
          <w:lang w:val="ro-RO"/>
        </w:rPr>
        <w:t>: 370</w:t>
      </w:r>
      <w:r w:rsidR="00C0767B" w:rsidRPr="009C6DA3">
        <w:rPr>
          <w:b/>
          <w:lang w:val="ro-RO"/>
        </w:rPr>
        <w:t>.</w:t>
      </w:r>
      <w:r w:rsidR="006B4B41">
        <w:rPr>
          <w:b/>
          <w:lang w:val="ro-RO"/>
        </w:rPr>
        <w:t>00</w:t>
      </w:r>
      <w:r w:rsidR="00C0767B" w:rsidRPr="009C6DA3">
        <w:rPr>
          <w:b/>
          <w:lang w:val="ro-RO"/>
        </w:rPr>
        <w:t>0.000</w:t>
      </w:r>
      <w:r w:rsidR="004E2F87">
        <w:rPr>
          <w:b/>
          <w:lang w:val="ro-RO"/>
        </w:rPr>
        <w:t xml:space="preserve"> euro</w:t>
      </w:r>
      <w:r w:rsidR="00C0767B" w:rsidRPr="009C6DA3">
        <w:rPr>
          <w:b/>
          <w:lang w:val="ro-RO"/>
        </w:rPr>
        <w:t xml:space="preserve">. </w:t>
      </w:r>
    </w:p>
    <w:p w14:paraId="526E7657" w14:textId="36F96FCA" w:rsidR="00ED431E" w:rsidRPr="009C6DA3" w:rsidRDefault="00EC71BF" w:rsidP="008F32E7">
      <w:pPr>
        <w:spacing w:after="0" w:line="257" w:lineRule="auto"/>
        <w:ind w:left="0" w:right="2" w:firstLine="0"/>
        <w:rPr>
          <w:lang w:val="ro-RO"/>
        </w:rPr>
      </w:pPr>
      <w:r>
        <w:rPr>
          <w:b/>
          <w:u w:val="single" w:color="000000"/>
          <w:lang w:val="ro-RO"/>
        </w:rPr>
        <w:t>Î</w:t>
      </w:r>
      <w:r w:rsidR="00C0767B" w:rsidRPr="009C6DA3">
        <w:rPr>
          <w:b/>
          <w:u w:val="single" w:color="000000"/>
          <w:lang w:val="ro-RO"/>
        </w:rPr>
        <w:t>n cadrul rundei a doua, nu exist</w:t>
      </w:r>
      <w:r>
        <w:rPr>
          <w:b/>
          <w:u w:val="single" w:color="000000"/>
          <w:lang w:val="ro-RO"/>
        </w:rPr>
        <w:t>ă</w:t>
      </w:r>
      <w:r w:rsidR="00C0767B" w:rsidRPr="009C6DA3">
        <w:rPr>
          <w:b/>
          <w:u w:val="single" w:color="000000"/>
          <w:lang w:val="ro-RO"/>
        </w:rPr>
        <w:t xml:space="preserve"> sume prealocate pe categorie de unitate</w:t>
      </w:r>
      <w:r w:rsidR="00C0767B" w:rsidRPr="009C6DA3">
        <w:rPr>
          <w:b/>
          <w:lang w:val="ro-RO"/>
        </w:rPr>
        <w:t xml:space="preserve"> </w:t>
      </w:r>
      <w:r w:rsidR="00C0767B" w:rsidRPr="009C6DA3">
        <w:rPr>
          <w:b/>
          <w:u w:val="single" w:color="000000"/>
          <w:lang w:val="ro-RO"/>
        </w:rPr>
        <w:t>administrativ-teritorial</w:t>
      </w:r>
      <w:r>
        <w:rPr>
          <w:b/>
          <w:u w:val="single" w:color="000000"/>
          <w:lang w:val="ro-RO"/>
        </w:rPr>
        <w:t>ă</w:t>
      </w:r>
      <w:r w:rsidR="00C0767B" w:rsidRPr="009C6DA3">
        <w:rPr>
          <w:b/>
          <w:u w:val="single" w:color="000000"/>
          <w:lang w:val="ro-RO"/>
        </w:rPr>
        <w:t>/subdiviziune a UAT, apelul fiind destinat tuturor</w:t>
      </w:r>
      <w:r w:rsidR="00C0767B" w:rsidRPr="009C6DA3">
        <w:rPr>
          <w:b/>
          <w:lang w:val="ro-RO"/>
        </w:rPr>
        <w:t xml:space="preserve"> </w:t>
      </w:r>
      <w:r w:rsidR="00C0767B" w:rsidRPr="009C6DA3">
        <w:rPr>
          <w:b/>
          <w:u w:val="single" w:color="000000"/>
          <w:lang w:val="ro-RO"/>
        </w:rPr>
        <w:t>unit</w:t>
      </w:r>
      <w:r>
        <w:rPr>
          <w:b/>
          <w:u w:val="single" w:color="000000"/>
          <w:lang w:val="ro-RO"/>
        </w:rPr>
        <w:t>ăț</w:t>
      </w:r>
      <w:r w:rsidR="00C0767B" w:rsidRPr="009C6DA3">
        <w:rPr>
          <w:b/>
          <w:u w:val="single" w:color="000000"/>
          <w:lang w:val="ro-RO"/>
        </w:rPr>
        <w:t xml:space="preserve">ilor administrativ-teritoriale </w:t>
      </w:r>
      <w:r>
        <w:rPr>
          <w:b/>
          <w:u w:val="single" w:color="000000"/>
          <w:lang w:val="ro-RO"/>
        </w:rPr>
        <w:t>ș</w:t>
      </w:r>
      <w:r w:rsidR="00C0767B" w:rsidRPr="009C6DA3">
        <w:rPr>
          <w:b/>
          <w:u w:val="single" w:color="000000"/>
          <w:lang w:val="ro-RO"/>
        </w:rPr>
        <w:t>i subdiviziunilor municipiului Bucure</w:t>
      </w:r>
      <w:r>
        <w:rPr>
          <w:b/>
          <w:u w:val="single" w:color="000000"/>
          <w:lang w:val="ro-RO"/>
        </w:rPr>
        <w:t>ș</w:t>
      </w:r>
      <w:r w:rsidR="00C0767B" w:rsidRPr="009C6DA3">
        <w:rPr>
          <w:b/>
          <w:u w:val="single" w:color="000000"/>
          <w:lang w:val="ro-RO"/>
        </w:rPr>
        <w:t>ti de pe</w:t>
      </w:r>
      <w:r w:rsidR="00C0767B" w:rsidRPr="009C6DA3">
        <w:rPr>
          <w:b/>
          <w:lang w:val="ro-RO"/>
        </w:rPr>
        <w:t xml:space="preserve"> </w:t>
      </w:r>
      <w:r>
        <w:rPr>
          <w:b/>
          <w:u w:val="single" w:color="000000"/>
          <w:lang w:val="ro-RO"/>
        </w:rPr>
        <w:t>î</w:t>
      </w:r>
      <w:r w:rsidR="00C0767B" w:rsidRPr="009C6DA3">
        <w:rPr>
          <w:b/>
          <w:u w:val="single" w:color="000000"/>
          <w:lang w:val="ro-RO"/>
        </w:rPr>
        <w:t>ntreg teritoriul Rom</w:t>
      </w:r>
      <w:r>
        <w:rPr>
          <w:b/>
          <w:u w:val="single" w:color="000000"/>
          <w:lang w:val="ro-RO"/>
        </w:rPr>
        <w:t>â</w:t>
      </w:r>
      <w:r w:rsidR="00C0767B" w:rsidRPr="009C6DA3">
        <w:rPr>
          <w:b/>
          <w:u w:val="single" w:color="000000"/>
          <w:lang w:val="ro-RO"/>
        </w:rPr>
        <w:t>niei</w:t>
      </w:r>
      <w:r w:rsidR="00AD5410">
        <w:rPr>
          <w:b/>
          <w:u w:val="single" w:color="000000"/>
          <w:lang w:val="ro-RO"/>
        </w:rPr>
        <w:t>, cu respectarea condi</w:t>
      </w:r>
      <w:r>
        <w:rPr>
          <w:b/>
          <w:u w:val="single" w:color="000000"/>
          <w:lang w:val="ro-RO"/>
        </w:rPr>
        <w:t>ț</w:t>
      </w:r>
      <w:r w:rsidR="00AD5410">
        <w:rPr>
          <w:b/>
          <w:u w:val="single" w:color="000000"/>
          <w:lang w:val="ro-RO"/>
        </w:rPr>
        <w:t>iilor de aplicare, respectiv a criteriilor de eligibilitate a</w:t>
      </w:r>
      <w:r w:rsidR="00A73F63">
        <w:rPr>
          <w:b/>
          <w:u w:val="single" w:color="000000"/>
          <w:lang w:val="ro-RO"/>
        </w:rPr>
        <w:t>le</w:t>
      </w:r>
      <w:r w:rsidR="00AD5410">
        <w:rPr>
          <w:b/>
          <w:u w:val="single" w:color="000000"/>
          <w:lang w:val="ro-RO"/>
        </w:rPr>
        <w:t xml:space="preserve"> solicitan</w:t>
      </w:r>
      <w:r>
        <w:rPr>
          <w:b/>
          <w:u w:val="single" w:color="000000"/>
          <w:lang w:val="ro-RO"/>
        </w:rPr>
        <w:t>ț</w:t>
      </w:r>
      <w:r w:rsidR="00AD5410">
        <w:rPr>
          <w:b/>
          <w:u w:val="single" w:color="000000"/>
          <w:lang w:val="ro-RO"/>
        </w:rPr>
        <w:t xml:space="preserve">ilor </w:t>
      </w:r>
      <w:r>
        <w:rPr>
          <w:b/>
          <w:u w:val="single" w:color="000000"/>
          <w:lang w:val="ro-RO"/>
        </w:rPr>
        <w:t>ș</w:t>
      </w:r>
      <w:r w:rsidR="00AD5410">
        <w:rPr>
          <w:b/>
          <w:u w:val="single" w:color="000000"/>
          <w:lang w:val="ro-RO"/>
        </w:rPr>
        <w:t>i tipurilor de lucr</w:t>
      </w:r>
      <w:r>
        <w:rPr>
          <w:b/>
          <w:u w:val="single" w:color="000000"/>
          <w:lang w:val="ro-RO"/>
        </w:rPr>
        <w:t>ă</w:t>
      </w:r>
      <w:r w:rsidR="00AD5410">
        <w:rPr>
          <w:b/>
          <w:u w:val="single" w:color="000000"/>
          <w:lang w:val="ro-RO"/>
        </w:rPr>
        <w:t>ri/categorii de cheltuiel</w:t>
      </w:r>
      <w:r w:rsidR="009E0BDE">
        <w:rPr>
          <w:b/>
          <w:u w:val="single" w:color="000000"/>
          <w:lang w:val="ro-RO"/>
        </w:rPr>
        <w:t>i eligibile prev</w:t>
      </w:r>
      <w:r>
        <w:rPr>
          <w:b/>
          <w:u w:val="single" w:color="000000"/>
          <w:lang w:val="ro-RO"/>
        </w:rPr>
        <w:t>ă</w:t>
      </w:r>
      <w:r w:rsidR="009E0BDE">
        <w:rPr>
          <w:b/>
          <w:u w:val="single" w:color="000000"/>
          <w:lang w:val="ro-RO"/>
        </w:rPr>
        <w:t xml:space="preserve">zute </w:t>
      </w:r>
      <w:r>
        <w:rPr>
          <w:b/>
          <w:u w:val="single" w:color="000000"/>
          <w:lang w:val="ro-RO"/>
        </w:rPr>
        <w:t>î</w:t>
      </w:r>
      <w:r w:rsidR="009E0BDE">
        <w:rPr>
          <w:b/>
          <w:u w:val="single" w:color="000000"/>
          <w:lang w:val="ro-RO"/>
        </w:rPr>
        <w:t>n Anexa 1</w:t>
      </w:r>
      <w:r w:rsidR="00AD5410">
        <w:rPr>
          <w:b/>
          <w:u w:val="single" w:color="000000"/>
          <w:lang w:val="ro-RO"/>
        </w:rPr>
        <w:t xml:space="preserve"> la </w:t>
      </w:r>
      <w:r w:rsidR="004E2F87">
        <w:rPr>
          <w:b/>
          <w:u w:val="single" w:color="000000"/>
          <w:lang w:val="ro-RO"/>
        </w:rPr>
        <w:t xml:space="preserve">prezentul </w:t>
      </w:r>
      <w:r w:rsidR="00AD5410">
        <w:rPr>
          <w:b/>
          <w:u w:val="single" w:color="000000"/>
          <w:lang w:val="ro-RO"/>
        </w:rPr>
        <w:t>Ghid</w:t>
      </w:r>
      <w:r w:rsidR="004E2F87">
        <w:rPr>
          <w:b/>
          <w:u w:val="single" w:color="000000"/>
          <w:lang w:val="ro-RO"/>
        </w:rPr>
        <w:t xml:space="preserve"> </w:t>
      </w:r>
      <w:r w:rsidR="00AD5410">
        <w:rPr>
          <w:b/>
          <w:u w:val="single" w:color="000000"/>
          <w:lang w:val="ro-RO"/>
        </w:rPr>
        <w:t xml:space="preserve"> specific</w:t>
      </w:r>
      <w:r w:rsidR="00C0767B" w:rsidRPr="009C6DA3">
        <w:rPr>
          <w:b/>
          <w:u w:val="single" w:color="000000"/>
          <w:lang w:val="ro-RO"/>
        </w:rPr>
        <w:t>.</w:t>
      </w:r>
      <w:r w:rsidR="00A73F63">
        <w:rPr>
          <w:b/>
          <w:lang w:val="ro-RO"/>
        </w:rPr>
        <w:t xml:space="preserve"> </w:t>
      </w:r>
    </w:p>
    <w:p w14:paraId="72BECE38" w14:textId="77777777" w:rsidR="00ED431E" w:rsidRPr="009C6DA3" w:rsidRDefault="00C0767B" w:rsidP="008F32E7">
      <w:pPr>
        <w:spacing w:after="39" w:line="259" w:lineRule="auto"/>
        <w:ind w:left="283" w:right="0" w:firstLine="0"/>
        <w:rPr>
          <w:lang w:val="ro-RO"/>
        </w:rPr>
      </w:pPr>
      <w:r w:rsidRPr="009C6DA3">
        <w:rPr>
          <w:lang w:val="ro-RO"/>
        </w:rPr>
        <w:t xml:space="preserve"> </w:t>
      </w:r>
    </w:p>
    <w:p w14:paraId="1CFA1E00" w14:textId="1CF5B76B" w:rsidR="00ED431E" w:rsidRPr="00273B42" w:rsidRDefault="00273B42" w:rsidP="00273B42">
      <w:pPr>
        <w:spacing w:after="1" w:line="258" w:lineRule="auto"/>
        <w:ind w:left="0" w:right="0" w:firstLine="0"/>
        <w:rPr>
          <w:strike/>
          <w:color w:val="FF0000"/>
          <w:lang w:val="ro-RO"/>
        </w:rPr>
      </w:pPr>
      <w:r>
        <w:rPr>
          <w:lang w:val="ro-RO"/>
        </w:rPr>
        <w:t xml:space="preserve">4. </w:t>
      </w:r>
      <w:r w:rsidR="00BF6DD1">
        <w:rPr>
          <w:lang w:val="ro-RO"/>
        </w:rPr>
        <w:t xml:space="preserve">La </w:t>
      </w:r>
      <w:r w:rsidR="00C0767B" w:rsidRPr="00273B42">
        <w:rPr>
          <w:lang w:val="ro-RO"/>
        </w:rPr>
        <w:t>Sec</w:t>
      </w:r>
      <w:r w:rsidR="00EC71BF">
        <w:rPr>
          <w:lang w:val="ro-RO"/>
        </w:rPr>
        <w:t>ț</w:t>
      </w:r>
      <w:r w:rsidR="00C0767B" w:rsidRPr="00273B42">
        <w:rPr>
          <w:lang w:val="ro-RO"/>
        </w:rPr>
        <w:t xml:space="preserve">iunea </w:t>
      </w:r>
      <w:r w:rsidR="00C0767B" w:rsidRPr="00273B42">
        <w:rPr>
          <w:b/>
          <w:lang w:val="ro-RO"/>
        </w:rPr>
        <w:t>4.2 Anexele cererii de finan</w:t>
      </w:r>
      <w:r w:rsidR="00EC71BF">
        <w:rPr>
          <w:b/>
          <w:lang w:val="ro-RO"/>
        </w:rPr>
        <w:t>ț</w:t>
      </w:r>
      <w:r w:rsidR="00C0767B" w:rsidRPr="00273B42">
        <w:rPr>
          <w:b/>
          <w:lang w:val="ro-RO"/>
        </w:rPr>
        <w:t xml:space="preserve">are, solicitate </w:t>
      </w:r>
      <w:r w:rsidR="00EC71BF">
        <w:rPr>
          <w:b/>
          <w:lang w:val="ro-RO"/>
        </w:rPr>
        <w:t>î</w:t>
      </w:r>
      <w:r w:rsidR="00C0767B" w:rsidRPr="00273B42">
        <w:rPr>
          <w:b/>
          <w:lang w:val="ro-RO"/>
        </w:rPr>
        <w:t>n mod obligatoriu la depunere</w:t>
      </w:r>
      <w:r w:rsidR="00C0767B" w:rsidRPr="00273B42">
        <w:rPr>
          <w:lang w:val="ro-RO"/>
        </w:rPr>
        <w:t xml:space="preserve">, </w:t>
      </w:r>
      <w:r w:rsidR="00BF6DD1">
        <w:rPr>
          <w:lang w:val="ro-RO"/>
        </w:rPr>
        <w:t xml:space="preserve">după ultimul paragraf </w:t>
      </w:r>
      <w:r w:rsidR="00C0767B" w:rsidRPr="00273B42">
        <w:rPr>
          <w:lang w:val="ro-RO"/>
        </w:rPr>
        <w:t xml:space="preserve">se </w:t>
      </w:r>
      <w:r w:rsidR="00BF6DD1">
        <w:rPr>
          <w:color w:val="auto"/>
          <w:lang w:val="ro-RO"/>
        </w:rPr>
        <w:t xml:space="preserve">introduce </w:t>
      </w:r>
      <w:r w:rsidR="00A82773" w:rsidRPr="00273B42">
        <w:rPr>
          <w:color w:val="auto"/>
          <w:lang w:val="ro-RO"/>
        </w:rPr>
        <w:t xml:space="preserve"> un nou paragraf</w:t>
      </w:r>
      <w:r w:rsidR="00BF6DD1">
        <w:rPr>
          <w:color w:val="auto"/>
          <w:lang w:val="ro-RO"/>
        </w:rPr>
        <w:t>,</w:t>
      </w:r>
      <w:r w:rsidR="00A82773" w:rsidRPr="00273B42">
        <w:rPr>
          <w:color w:val="auto"/>
          <w:lang w:val="ro-RO"/>
        </w:rPr>
        <w:t xml:space="preserve"> cu urm</w:t>
      </w:r>
      <w:r w:rsidR="00EC71BF">
        <w:rPr>
          <w:color w:val="auto"/>
          <w:lang w:val="ro-RO"/>
        </w:rPr>
        <w:t>ă</w:t>
      </w:r>
      <w:r w:rsidR="00A82773" w:rsidRPr="00273B42">
        <w:rPr>
          <w:color w:val="auto"/>
          <w:lang w:val="ro-RO"/>
        </w:rPr>
        <w:t xml:space="preserve">torul cuprins: </w:t>
      </w:r>
    </w:p>
    <w:p w14:paraId="425DAFF4" w14:textId="3A647832" w:rsidR="00ED431E" w:rsidRPr="009C6DA3" w:rsidRDefault="00C0767B" w:rsidP="008F32E7">
      <w:pPr>
        <w:spacing w:after="1" w:line="258" w:lineRule="auto"/>
        <w:ind w:left="293" w:right="0"/>
        <w:rPr>
          <w:lang w:val="ro-RO"/>
        </w:rPr>
      </w:pPr>
      <w:r w:rsidRPr="009C6DA3">
        <w:rPr>
          <w:b/>
          <w:lang w:val="ro-RO"/>
        </w:rPr>
        <w:t>„Aten</w:t>
      </w:r>
      <w:r w:rsidR="00EC71BF">
        <w:rPr>
          <w:b/>
          <w:lang w:val="ro-RO"/>
        </w:rPr>
        <w:t>ț</w:t>
      </w:r>
      <w:r w:rsidRPr="009C6DA3">
        <w:rPr>
          <w:b/>
          <w:lang w:val="ro-RO"/>
        </w:rPr>
        <w:t xml:space="preserve">ie! </w:t>
      </w:r>
    </w:p>
    <w:p w14:paraId="1F340832" w14:textId="62D52F00" w:rsidR="00ED431E" w:rsidRPr="009C6DA3" w:rsidRDefault="00EC71BF" w:rsidP="008F32E7">
      <w:pPr>
        <w:spacing w:after="3" w:line="258" w:lineRule="auto"/>
        <w:ind w:left="437" w:right="0"/>
        <w:rPr>
          <w:lang w:val="ro-RO"/>
        </w:rPr>
      </w:pPr>
      <w:r>
        <w:rPr>
          <w:lang w:val="ro-RO"/>
        </w:rPr>
        <w:t>Î</w:t>
      </w:r>
      <w:r w:rsidR="008F32E7" w:rsidRPr="008F32E7">
        <w:rPr>
          <w:lang w:val="ro-RO"/>
        </w:rPr>
        <w:t xml:space="preserve">n cazul </w:t>
      </w:r>
      <w:r>
        <w:rPr>
          <w:lang w:val="ro-RO"/>
        </w:rPr>
        <w:t>î</w:t>
      </w:r>
      <w:r w:rsidR="008F32E7" w:rsidRPr="008F32E7">
        <w:rPr>
          <w:lang w:val="ro-RO"/>
        </w:rPr>
        <w:t>n care nu va fi transmis unul dintre documentele enumerate mai jos sau se va transmite un alt document, cererea de finan</w:t>
      </w:r>
      <w:r>
        <w:rPr>
          <w:lang w:val="ro-RO"/>
        </w:rPr>
        <w:t>ț</w:t>
      </w:r>
      <w:r w:rsidR="008F32E7" w:rsidRPr="008F32E7">
        <w:rPr>
          <w:lang w:val="ro-RO"/>
        </w:rPr>
        <w:t>are va fi automat respins</w:t>
      </w:r>
      <w:r>
        <w:rPr>
          <w:lang w:val="ro-RO"/>
        </w:rPr>
        <w:t>ă</w:t>
      </w:r>
      <w:r w:rsidR="008F32E7" w:rsidRPr="008F32E7">
        <w:rPr>
          <w:b/>
          <w:lang w:val="ro-RO"/>
        </w:rPr>
        <w:t>.</w:t>
      </w:r>
      <w:r w:rsidR="00C0767B" w:rsidRPr="008F32E7">
        <w:rPr>
          <w:lang w:val="ro-RO"/>
        </w:rPr>
        <w:t>”</w:t>
      </w:r>
      <w:r w:rsidR="00C0767B" w:rsidRPr="009C6DA3">
        <w:rPr>
          <w:lang w:val="ro-RO"/>
        </w:rPr>
        <w:t xml:space="preserve"> </w:t>
      </w:r>
    </w:p>
    <w:p w14:paraId="2A2B36DD" w14:textId="77777777" w:rsidR="00ED431E" w:rsidRPr="009C6DA3" w:rsidRDefault="00C0767B" w:rsidP="008F32E7">
      <w:pPr>
        <w:spacing w:after="0" w:line="259" w:lineRule="auto"/>
        <w:ind w:left="720" w:right="0" w:firstLine="0"/>
        <w:rPr>
          <w:lang w:val="ro-RO"/>
        </w:rPr>
      </w:pPr>
      <w:r w:rsidRPr="009C6DA3">
        <w:rPr>
          <w:lang w:val="ro-RO"/>
        </w:rPr>
        <w:t xml:space="preserve"> </w:t>
      </w:r>
    </w:p>
    <w:p w14:paraId="56E487D0" w14:textId="2673001A" w:rsidR="00ED431E" w:rsidRPr="00273B42" w:rsidRDefault="00273B42" w:rsidP="00273B42">
      <w:pPr>
        <w:spacing w:after="1" w:line="258" w:lineRule="auto"/>
        <w:ind w:right="0"/>
        <w:rPr>
          <w:strike/>
          <w:color w:val="auto"/>
          <w:lang w:val="ro-RO"/>
        </w:rPr>
      </w:pPr>
      <w:r>
        <w:rPr>
          <w:lang w:val="ro-RO"/>
        </w:rPr>
        <w:t xml:space="preserve">5. </w:t>
      </w:r>
      <w:r w:rsidR="00EC1BD8">
        <w:rPr>
          <w:lang w:val="ro-RO"/>
        </w:rPr>
        <w:t xml:space="preserve">La </w:t>
      </w:r>
      <w:r w:rsidR="00C0767B" w:rsidRPr="00273B42">
        <w:rPr>
          <w:lang w:val="ro-RO"/>
        </w:rPr>
        <w:t>Sec</w:t>
      </w:r>
      <w:r w:rsidR="00EC71BF">
        <w:rPr>
          <w:lang w:val="ro-RO"/>
        </w:rPr>
        <w:t>ț</w:t>
      </w:r>
      <w:r w:rsidR="00C0767B" w:rsidRPr="00273B42">
        <w:rPr>
          <w:lang w:val="ro-RO"/>
        </w:rPr>
        <w:t xml:space="preserve">iunea </w:t>
      </w:r>
      <w:r w:rsidR="00C0767B" w:rsidRPr="00273B42">
        <w:rPr>
          <w:b/>
          <w:lang w:val="ro-RO"/>
        </w:rPr>
        <w:t>5.1 Verificarea conformit</w:t>
      </w:r>
      <w:r w:rsidR="00EC71BF">
        <w:rPr>
          <w:b/>
          <w:lang w:val="ro-RO"/>
        </w:rPr>
        <w:t>ăț</w:t>
      </w:r>
      <w:r w:rsidR="00C0767B" w:rsidRPr="00273B42">
        <w:rPr>
          <w:b/>
          <w:lang w:val="ro-RO"/>
        </w:rPr>
        <w:t xml:space="preserve">ii administrative </w:t>
      </w:r>
      <w:r w:rsidR="00EC71BF">
        <w:rPr>
          <w:b/>
          <w:lang w:val="ro-RO"/>
        </w:rPr>
        <w:t>ș</w:t>
      </w:r>
      <w:r w:rsidR="00C0767B" w:rsidRPr="00273B42">
        <w:rPr>
          <w:b/>
          <w:lang w:val="ro-RO"/>
        </w:rPr>
        <w:t>i a eligibilit</w:t>
      </w:r>
      <w:r w:rsidR="00EC71BF">
        <w:rPr>
          <w:b/>
          <w:lang w:val="ro-RO"/>
        </w:rPr>
        <w:t>ăț</w:t>
      </w:r>
      <w:r w:rsidR="00C0767B" w:rsidRPr="00273B42">
        <w:rPr>
          <w:b/>
          <w:lang w:val="ro-RO"/>
        </w:rPr>
        <w:t>ii</w:t>
      </w:r>
      <w:r w:rsidR="00C0767B" w:rsidRPr="00273B42">
        <w:rPr>
          <w:lang w:val="ro-RO"/>
        </w:rPr>
        <w:t xml:space="preserve">, </w:t>
      </w:r>
      <w:r w:rsidR="00EC1BD8">
        <w:rPr>
          <w:lang w:val="ro-RO"/>
        </w:rPr>
        <w:t xml:space="preserve">după ultimul paragraf </w:t>
      </w:r>
      <w:r w:rsidR="00EC1BD8" w:rsidRPr="00273B42">
        <w:rPr>
          <w:lang w:val="ro-RO"/>
        </w:rPr>
        <w:t xml:space="preserve">se </w:t>
      </w:r>
      <w:r w:rsidR="00EC1BD8">
        <w:rPr>
          <w:color w:val="auto"/>
          <w:lang w:val="ro-RO"/>
        </w:rPr>
        <w:t xml:space="preserve">introduc </w:t>
      </w:r>
      <w:r w:rsidR="004C58D9" w:rsidRPr="00273B42">
        <w:rPr>
          <w:color w:val="auto"/>
          <w:lang w:val="ro-RO"/>
        </w:rPr>
        <w:t xml:space="preserve"> dou</w:t>
      </w:r>
      <w:r w:rsidR="00EC71BF">
        <w:rPr>
          <w:color w:val="auto"/>
          <w:lang w:val="ro-RO"/>
        </w:rPr>
        <w:t>ă</w:t>
      </w:r>
      <w:r w:rsidR="004C58D9" w:rsidRPr="00273B42">
        <w:rPr>
          <w:color w:val="auto"/>
          <w:lang w:val="ro-RO"/>
        </w:rPr>
        <w:t xml:space="preserve"> noi paragrafe</w:t>
      </w:r>
      <w:r w:rsidR="00EC1BD8">
        <w:rPr>
          <w:color w:val="auto"/>
          <w:lang w:val="ro-RO"/>
        </w:rPr>
        <w:t>,</w:t>
      </w:r>
      <w:r w:rsidR="004C58D9" w:rsidRPr="00273B42">
        <w:rPr>
          <w:color w:val="auto"/>
          <w:lang w:val="ro-RO"/>
        </w:rPr>
        <w:t xml:space="preserve"> cu urm</w:t>
      </w:r>
      <w:r w:rsidR="00EC71BF">
        <w:rPr>
          <w:color w:val="auto"/>
          <w:lang w:val="ro-RO"/>
        </w:rPr>
        <w:t>ă</w:t>
      </w:r>
      <w:r w:rsidR="004C58D9" w:rsidRPr="00273B42">
        <w:rPr>
          <w:color w:val="auto"/>
          <w:lang w:val="ro-RO"/>
        </w:rPr>
        <w:t xml:space="preserve">torul cuprins: </w:t>
      </w:r>
    </w:p>
    <w:p w14:paraId="183B1400" w14:textId="6886DEB8" w:rsidR="00ED431E" w:rsidRPr="009C6DA3" w:rsidRDefault="00C0767B" w:rsidP="008F32E7">
      <w:pPr>
        <w:ind w:left="-5" w:right="0"/>
        <w:rPr>
          <w:lang w:val="ro-RO"/>
        </w:rPr>
      </w:pPr>
      <w:r w:rsidRPr="009C6DA3">
        <w:rPr>
          <w:lang w:val="ro-RO"/>
        </w:rPr>
        <w:lastRenderedPageBreak/>
        <w:t>„</w:t>
      </w:r>
      <w:r w:rsidRPr="009C6DA3">
        <w:rPr>
          <w:u w:val="single" w:color="000000"/>
          <w:lang w:val="ro-RO"/>
        </w:rPr>
        <w:t>Not</w:t>
      </w:r>
      <w:r w:rsidR="00EC71BF">
        <w:rPr>
          <w:u w:val="single" w:color="000000"/>
          <w:lang w:val="ro-RO"/>
        </w:rPr>
        <w:t>ă</w:t>
      </w:r>
      <w:r w:rsidRPr="009C6DA3">
        <w:rPr>
          <w:lang w:val="ro-RO"/>
        </w:rPr>
        <w:t xml:space="preserve">: </w:t>
      </w:r>
      <w:r w:rsidR="00EC71BF">
        <w:rPr>
          <w:lang w:val="ro-RO"/>
        </w:rPr>
        <w:t>Î</w:t>
      </w:r>
      <w:r w:rsidRPr="009C6DA3">
        <w:rPr>
          <w:lang w:val="ro-RO"/>
        </w:rPr>
        <w:t>n cadrul celei de a doua runde, dup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 </w:t>
      </w:r>
      <w:r w:rsidR="00EC71BF">
        <w:rPr>
          <w:lang w:val="ro-RO"/>
        </w:rPr>
        <w:t>î</w:t>
      </w:r>
      <w:r w:rsidRPr="009C6DA3">
        <w:rPr>
          <w:lang w:val="ro-RO"/>
        </w:rPr>
        <w:t>ncheierea perioadei de depunere, cererile de finan</w:t>
      </w:r>
      <w:r w:rsidR="00EC71BF">
        <w:rPr>
          <w:lang w:val="ro-RO"/>
        </w:rPr>
        <w:t>ț</w:t>
      </w:r>
      <w:r w:rsidRPr="009C6DA3">
        <w:rPr>
          <w:lang w:val="ro-RO"/>
        </w:rPr>
        <w:t xml:space="preserve">are vor intra </w:t>
      </w:r>
      <w:r w:rsidR="00EC71BF">
        <w:rPr>
          <w:lang w:val="ro-RO"/>
        </w:rPr>
        <w:t>î</w:t>
      </w:r>
      <w:r w:rsidRPr="009C6DA3">
        <w:rPr>
          <w:lang w:val="ro-RO"/>
        </w:rPr>
        <w:t>n etapa de verificare a conformit</w:t>
      </w:r>
      <w:r w:rsidR="00EC71BF">
        <w:rPr>
          <w:lang w:val="ro-RO"/>
        </w:rPr>
        <w:t>ăț</w:t>
      </w:r>
      <w:r w:rsidRPr="009C6DA3">
        <w:rPr>
          <w:lang w:val="ro-RO"/>
        </w:rPr>
        <w:t xml:space="preserve">ii administrative </w:t>
      </w:r>
      <w:r w:rsidR="00EC71BF">
        <w:rPr>
          <w:lang w:val="ro-RO"/>
        </w:rPr>
        <w:t>ș</w:t>
      </w:r>
      <w:r w:rsidRPr="009C6DA3">
        <w:rPr>
          <w:lang w:val="ro-RO"/>
        </w:rPr>
        <w:t>i a eligibilit</w:t>
      </w:r>
      <w:r w:rsidR="00EC71BF">
        <w:rPr>
          <w:lang w:val="ro-RO"/>
        </w:rPr>
        <w:t>ăț</w:t>
      </w:r>
      <w:r w:rsidRPr="009C6DA3">
        <w:rPr>
          <w:lang w:val="ro-RO"/>
        </w:rPr>
        <w:t xml:space="preserve">ii, </w:t>
      </w:r>
      <w:r w:rsidRPr="009C6DA3">
        <w:rPr>
          <w:b/>
          <w:lang w:val="ro-RO"/>
        </w:rPr>
        <w:t>pe principiul primul venit, primul servit</w:t>
      </w:r>
      <w:r w:rsidRPr="009C6DA3">
        <w:rPr>
          <w:lang w:val="ro-RO"/>
        </w:rPr>
        <w:t xml:space="preserve">.  </w:t>
      </w:r>
    </w:p>
    <w:p w14:paraId="2D7B0AE2" w14:textId="126357B9" w:rsidR="00ED431E" w:rsidRPr="001E0B1F" w:rsidRDefault="00C0767B" w:rsidP="008F32E7">
      <w:pPr>
        <w:ind w:left="-5" w:right="0"/>
        <w:rPr>
          <w:color w:val="auto"/>
          <w:lang w:val="ro-RO"/>
        </w:rPr>
      </w:pPr>
      <w:r w:rsidRPr="009C6DA3">
        <w:rPr>
          <w:lang w:val="ro-RO"/>
        </w:rPr>
        <w:t>Cererile de finan</w:t>
      </w:r>
      <w:r w:rsidR="00EC71BF">
        <w:rPr>
          <w:lang w:val="ro-RO"/>
        </w:rPr>
        <w:t>ț</w:t>
      </w:r>
      <w:r w:rsidRPr="009C6DA3">
        <w:rPr>
          <w:lang w:val="ro-RO"/>
        </w:rPr>
        <w:t>are r</w:t>
      </w:r>
      <w:r w:rsidR="00EC71BF">
        <w:rPr>
          <w:lang w:val="ro-RO"/>
        </w:rPr>
        <w:t>ă</w:t>
      </w:r>
      <w:r w:rsidRPr="009C6DA3">
        <w:rPr>
          <w:lang w:val="ro-RO"/>
        </w:rPr>
        <w:t>mase dup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 epuizarea fondurilor alocate fiec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rui apel de proiecte vor fi incluse pe o </w:t>
      </w:r>
      <w:r w:rsidRPr="009C6DA3">
        <w:rPr>
          <w:b/>
          <w:lang w:val="ro-RO"/>
        </w:rPr>
        <w:t>list</w:t>
      </w:r>
      <w:r w:rsidR="00EC71BF">
        <w:rPr>
          <w:b/>
          <w:lang w:val="ro-RO"/>
        </w:rPr>
        <w:t>ă</w:t>
      </w:r>
      <w:r w:rsidRPr="009C6DA3">
        <w:rPr>
          <w:b/>
          <w:lang w:val="ro-RO"/>
        </w:rPr>
        <w:t xml:space="preserve"> de a</w:t>
      </w:r>
      <w:r w:rsidR="00EC71BF">
        <w:rPr>
          <w:b/>
          <w:lang w:val="ro-RO"/>
        </w:rPr>
        <w:t>ș</w:t>
      </w:r>
      <w:r w:rsidRPr="009C6DA3">
        <w:rPr>
          <w:b/>
          <w:lang w:val="ro-RO"/>
        </w:rPr>
        <w:t>teptare</w:t>
      </w:r>
      <w:r w:rsidRPr="009C6DA3">
        <w:rPr>
          <w:lang w:val="ro-RO"/>
        </w:rPr>
        <w:t xml:space="preserve">, iar </w:t>
      </w:r>
      <w:r w:rsidR="00EC71BF">
        <w:rPr>
          <w:lang w:val="ro-RO"/>
        </w:rPr>
        <w:t>î</w:t>
      </w:r>
      <w:r w:rsidRPr="009C6DA3">
        <w:rPr>
          <w:lang w:val="ro-RO"/>
        </w:rPr>
        <w:t>n cazul supliment</w:t>
      </w:r>
      <w:r w:rsidR="00EC71BF">
        <w:rPr>
          <w:lang w:val="ro-RO"/>
        </w:rPr>
        <w:t>ă</w:t>
      </w:r>
      <w:r w:rsidRPr="009C6DA3">
        <w:rPr>
          <w:lang w:val="ro-RO"/>
        </w:rPr>
        <w:t>rii/disponibiliz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rii fondurilor, acestea pot fi evaluate </w:t>
      </w:r>
      <w:r w:rsidR="00EC71BF">
        <w:rPr>
          <w:lang w:val="ro-RO"/>
        </w:rPr>
        <w:t>ș</w:t>
      </w:r>
      <w:r w:rsidRPr="009C6DA3">
        <w:rPr>
          <w:lang w:val="ro-RO"/>
        </w:rPr>
        <w:t>i incluse la finan</w:t>
      </w:r>
      <w:r w:rsidR="00EC71BF">
        <w:rPr>
          <w:lang w:val="ro-RO"/>
        </w:rPr>
        <w:t>ț</w:t>
      </w:r>
      <w:r w:rsidRPr="009C6DA3">
        <w:rPr>
          <w:lang w:val="ro-RO"/>
        </w:rPr>
        <w:t xml:space="preserve">are. </w:t>
      </w:r>
      <w:r w:rsidR="004C58D9" w:rsidRPr="001E0B1F">
        <w:rPr>
          <w:color w:val="auto"/>
          <w:lang w:val="ro-RO"/>
        </w:rPr>
        <w:t>"</w:t>
      </w:r>
    </w:p>
    <w:p w14:paraId="645D537F" w14:textId="77777777" w:rsidR="00ED431E" w:rsidRPr="009C6DA3" w:rsidRDefault="00C0767B" w:rsidP="008F32E7">
      <w:pPr>
        <w:spacing w:after="0" w:line="259" w:lineRule="auto"/>
        <w:ind w:left="0" w:right="0" w:firstLine="0"/>
        <w:rPr>
          <w:lang w:val="ro-RO"/>
        </w:rPr>
      </w:pPr>
      <w:r w:rsidRPr="009C6DA3">
        <w:rPr>
          <w:b/>
          <w:lang w:val="ro-RO"/>
        </w:rPr>
        <w:t xml:space="preserve"> </w:t>
      </w:r>
    </w:p>
    <w:p w14:paraId="6B590F58" w14:textId="2BFE40C4" w:rsidR="00ED431E" w:rsidRPr="00273B42" w:rsidRDefault="00273B42" w:rsidP="00273B42">
      <w:pPr>
        <w:spacing w:after="136" w:line="259" w:lineRule="auto"/>
        <w:ind w:right="0"/>
        <w:rPr>
          <w:lang w:val="ro-RO"/>
        </w:rPr>
      </w:pPr>
      <w:r>
        <w:rPr>
          <w:lang w:val="ro-RO"/>
        </w:rPr>
        <w:t xml:space="preserve">6. </w:t>
      </w:r>
      <w:r w:rsidR="00EC1BD8">
        <w:rPr>
          <w:lang w:val="ro-RO"/>
        </w:rPr>
        <w:t xml:space="preserve">La </w:t>
      </w:r>
      <w:r w:rsidR="00630A20" w:rsidRPr="00273B42">
        <w:rPr>
          <w:lang w:val="ro-RO"/>
        </w:rPr>
        <w:t xml:space="preserve">Capitolul </w:t>
      </w:r>
      <w:r w:rsidR="00630A20" w:rsidRPr="00273B42">
        <w:rPr>
          <w:b/>
          <w:lang w:val="ro-RO"/>
        </w:rPr>
        <w:t xml:space="preserve">IV </w:t>
      </w:r>
      <w:r w:rsidR="00EC1BD8">
        <w:rPr>
          <w:b/>
          <w:lang w:val="ro-RO"/>
        </w:rPr>
        <w:t>„</w:t>
      </w:r>
      <w:r w:rsidR="00630A20" w:rsidRPr="00273B42">
        <w:rPr>
          <w:b/>
          <w:lang w:val="ro-RO"/>
        </w:rPr>
        <w:t>Condi</w:t>
      </w:r>
      <w:r w:rsidR="00EC71BF">
        <w:rPr>
          <w:b/>
          <w:lang w:val="ro-RO"/>
        </w:rPr>
        <w:t>ț</w:t>
      </w:r>
      <w:r w:rsidR="00630A20" w:rsidRPr="00273B42">
        <w:rPr>
          <w:b/>
          <w:lang w:val="ro-RO"/>
        </w:rPr>
        <w:t>ie privind includerea sta</w:t>
      </w:r>
      <w:r w:rsidR="00EC71BF">
        <w:rPr>
          <w:b/>
          <w:lang w:val="ro-RO"/>
        </w:rPr>
        <w:t>ț</w:t>
      </w:r>
      <w:r w:rsidR="00630A20" w:rsidRPr="00273B42">
        <w:rPr>
          <w:b/>
          <w:lang w:val="ro-RO"/>
        </w:rPr>
        <w:t>iilor de re</w:t>
      </w:r>
      <w:r w:rsidR="00EC71BF">
        <w:rPr>
          <w:b/>
          <w:lang w:val="ro-RO"/>
        </w:rPr>
        <w:t>î</w:t>
      </w:r>
      <w:r w:rsidR="00630A20" w:rsidRPr="00273B42">
        <w:rPr>
          <w:b/>
          <w:lang w:val="ro-RO"/>
        </w:rPr>
        <w:t>nc</w:t>
      </w:r>
      <w:r w:rsidR="00EC71BF">
        <w:rPr>
          <w:b/>
          <w:lang w:val="ro-RO"/>
        </w:rPr>
        <w:t>ă</w:t>
      </w:r>
      <w:r w:rsidR="00630A20" w:rsidRPr="00273B42">
        <w:rPr>
          <w:b/>
          <w:lang w:val="ro-RO"/>
        </w:rPr>
        <w:t>rcare pentru vehicule electrice</w:t>
      </w:r>
      <w:r w:rsidR="00EC1BD8">
        <w:rPr>
          <w:b/>
          <w:lang w:val="ro-RO"/>
        </w:rPr>
        <w:t>”</w:t>
      </w:r>
      <w:r w:rsidR="00630A20" w:rsidRPr="00273B42">
        <w:rPr>
          <w:lang w:val="ro-RO"/>
        </w:rPr>
        <w:t xml:space="preserve"> din cadrul </w:t>
      </w:r>
      <w:r w:rsidR="00630A20" w:rsidRPr="00273B42">
        <w:rPr>
          <w:i/>
          <w:lang w:val="ro-RO"/>
        </w:rPr>
        <w:t>Anexei I</w:t>
      </w:r>
      <w:r w:rsidR="001E0B1F" w:rsidRPr="00273B42">
        <w:rPr>
          <w:lang w:val="ro-RO"/>
        </w:rPr>
        <w:t xml:space="preserve"> </w:t>
      </w:r>
      <w:r w:rsidR="00EC1BD8">
        <w:rPr>
          <w:lang w:val="ro-RO"/>
        </w:rPr>
        <w:t xml:space="preserve">, după ultimul paragraf </w:t>
      </w:r>
      <w:r w:rsidR="00EC1BD8" w:rsidRPr="00273B42">
        <w:rPr>
          <w:lang w:val="ro-RO"/>
        </w:rPr>
        <w:t xml:space="preserve">se </w:t>
      </w:r>
      <w:r w:rsidR="00EC1BD8">
        <w:rPr>
          <w:color w:val="auto"/>
          <w:lang w:val="ro-RO"/>
        </w:rPr>
        <w:t>introduce</w:t>
      </w:r>
      <w:r w:rsidR="00630A20" w:rsidRPr="00273B42">
        <w:rPr>
          <w:lang w:val="ro-RO"/>
        </w:rPr>
        <w:t xml:space="preserve"> </w:t>
      </w:r>
      <w:r w:rsidR="00EC1BD8">
        <w:rPr>
          <w:lang w:val="ro-RO"/>
        </w:rPr>
        <w:t xml:space="preserve">un nou paragraf, </w:t>
      </w:r>
      <w:r w:rsidR="00630A20" w:rsidRPr="00273B42">
        <w:rPr>
          <w:lang w:val="ro-RO"/>
        </w:rPr>
        <w:t xml:space="preserve"> cu urm</w:t>
      </w:r>
      <w:r w:rsidR="00EC71BF">
        <w:rPr>
          <w:lang w:val="ro-RO"/>
        </w:rPr>
        <w:t>ă</w:t>
      </w:r>
      <w:r w:rsidR="00630A20" w:rsidRPr="00273B42">
        <w:rPr>
          <w:lang w:val="ro-RO"/>
        </w:rPr>
        <w:t xml:space="preserve">torul </w:t>
      </w:r>
      <w:r w:rsidR="00EC1BD8">
        <w:rPr>
          <w:lang w:val="ro-RO"/>
        </w:rPr>
        <w:t>cuprins</w:t>
      </w:r>
      <w:r w:rsidR="00630A20" w:rsidRPr="00273B42">
        <w:rPr>
          <w:lang w:val="ro-RO"/>
        </w:rPr>
        <w:t>:</w:t>
      </w:r>
    </w:p>
    <w:p w14:paraId="52AE8580" w14:textId="76A2BD2B" w:rsidR="00630A20" w:rsidRPr="00273B42" w:rsidRDefault="00630A20" w:rsidP="00273B42">
      <w:pPr>
        <w:spacing w:after="136" w:line="259" w:lineRule="auto"/>
        <w:ind w:right="0"/>
        <w:rPr>
          <w:lang w:val="ro-RO"/>
        </w:rPr>
      </w:pPr>
      <w:r w:rsidRPr="00273B42">
        <w:rPr>
          <w:lang w:val="ro-RO"/>
        </w:rPr>
        <w:t>„</w:t>
      </w:r>
      <w:r w:rsidR="00EC71BF">
        <w:rPr>
          <w:lang w:val="ro-RO"/>
        </w:rPr>
        <w:t>Î</w:t>
      </w:r>
      <w:r w:rsidRPr="00273B42">
        <w:rPr>
          <w:lang w:val="ro-RO"/>
        </w:rPr>
        <w:t xml:space="preserve">n cadrul celei de a doua runde, </w:t>
      </w:r>
      <w:r w:rsidRPr="00273B42">
        <w:rPr>
          <w:b/>
          <w:lang w:val="ro-RO"/>
        </w:rPr>
        <w:t>nu este obligatorie includerea de sta</w:t>
      </w:r>
      <w:r w:rsidR="00EC71BF">
        <w:rPr>
          <w:b/>
          <w:lang w:val="ro-RO"/>
        </w:rPr>
        <w:t>ț</w:t>
      </w:r>
      <w:r w:rsidRPr="00273B42">
        <w:rPr>
          <w:b/>
          <w:lang w:val="ro-RO"/>
        </w:rPr>
        <w:t>ii de re</w:t>
      </w:r>
      <w:r w:rsidR="00EC71BF">
        <w:rPr>
          <w:b/>
          <w:lang w:val="ro-RO"/>
        </w:rPr>
        <w:t>î</w:t>
      </w:r>
      <w:r w:rsidRPr="00273B42">
        <w:rPr>
          <w:b/>
          <w:lang w:val="ro-RO"/>
        </w:rPr>
        <w:t>nc</w:t>
      </w:r>
      <w:r w:rsidR="00EC71BF">
        <w:rPr>
          <w:b/>
          <w:lang w:val="ro-RO"/>
        </w:rPr>
        <w:t>ă</w:t>
      </w:r>
      <w:r w:rsidRPr="00273B42">
        <w:rPr>
          <w:b/>
          <w:lang w:val="ro-RO"/>
        </w:rPr>
        <w:t>rcare</w:t>
      </w:r>
      <w:r w:rsidRPr="00273B42">
        <w:rPr>
          <w:lang w:val="ro-RO"/>
        </w:rPr>
        <w:t xml:space="preserve"> pentru vehicule electrice. Solicitan</w:t>
      </w:r>
      <w:r w:rsidR="00EC71BF">
        <w:rPr>
          <w:lang w:val="ro-RO"/>
        </w:rPr>
        <w:t>ț</w:t>
      </w:r>
      <w:r w:rsidRPr="00273B42">
        <w:rPr>
          <w:lang w:val="ro-RO"/>
        </w:rPr>
        <w:t>ii vor putea solicita finan</w:t>
      </w:r>
      <w:r w:rsidR="00EC71BF">
        <w:rPr>
          <w:lang w:val="ro-RO"/>
        </w:rPr>
        <w:t>ț</w:t>
      </w:r>
      <w:r w:rsidRPr="00273B42">
        <w:rPr>
          <w:lang w:val="ro-RO"/>
        </w:rPr>
        <w:t>are pentru sta</w:t>
      </w:r>
      <w:r w:rsidR="00EC71BF">
        <w:rPr>
          <w:lang w:val="ro-RO"/>
        </w:rPr>
        <w:t>ț</w:t>
      </w:r>
      <w:r w:rsidRPr="00273B42">
        <w:rPr>
          <w:lang w:val="ro-RO"/>
        </w:rPr>
        <w:t>ii de re</w:t>
      </w:r>
      <w:r w:rsidR="00EC71BF">
        <w:rPr>
          <w:lang w:val="ro-RO"/>
        </w:rPr>
        <w:t>î</w:t>
      </w:r>
      <w:r w:rsidRPr="00273B42">
        <w:rPr>
          <w:lang w:val="ro-RO"/>
        </w:rPr>
        <w:t>nc</w:t>
      </w:r>
      <w:r w:rsidR="00EC71BF">
        <w:rPr>
          <w:lang w:val="ro-RO"/>
        </w:rPr>
        <w:t>ă</w:t>
      </w:r>
      <w:r w:rsidRPr="00273B42">
        <w:rPr>
          <w:lang w:val="ro-RO"/>
        </w:rPr>
        <w:t>rcare</w:t>
      </w:r>
      <w:r w:rsidR="001E0B1F" w:rsidRPr="00273B42">
        <w:rPr>
          <w:lang w:val="ro-RO"/>
        </w:rPr>
        <w:t xml:space="preserve"> prin ad</w:t>
      </w:r>
      <w:r w:rsidR="00EC71BF">
        <w:rPr>
          <w:lang w:val="ro-RO"/>
        </w:rPr>
        <w:t>ă</w:t>
      </w:r>
      <w:r w:rsidR="001E0B1F" w:rsidRPr="00273B42">
        <w:rPr>
          <w:lang w:val="ro-RO"/>
        </w:rPr>
        <w:t>ugarea num</w:t>
      </w:r>
      <w:r w:rsidR="00EC71BF">
        <w:rPr>
          <w:lang w:val="ro-RO"/>
        </w:rPr>
        <w:t>ă</w:t>
      </w:r>
      <w:r w:rsidR="001E0B1F" w:rsidRPr="00273B42">
        <w:rPr>
          <w:lang w:val="ro-RO"/>
        </w:rPr>
        <w:t>rului de sta</w:t>
      </w:r>
      <w:r w:rsidR="00EC71BF">
        <w:rPr>
          <w:lang w:val="ro-RO"/>
        </w:rPr>
        <w:t>ț</w:t>
      </w:r>
      <w:r w:rsidR="001E0B1F" w:rsidRPr="00273B42">
        <w:rPr>
          <w:lang w:val="ro-RO"/>
        </w:rPr>
        <w:t>ii de re</w:t>
      </w:r>
      <w:r w:rsidR="00EC71BF">
        <w:rPr>
          <w:lang w:val="ro-RO"/>
        </w:rPr>
        <w:t>î</w:t>
      </w:r>
      <w:r w:rsidR="001E0B1F" w:rsidRPr="00273B42">
        <w:rPr>
          <w:lang w:val="ro-RO"/>
        </w:rPr>
        <w:t>nc</w:t>
      </w:r>
      <w:r w:rsidR="00EC71BF">
        <w:rPr>
          <w:lang w:val="ro-RO"/>
        </w:rPr>
        <w:t>ă</w:t>
      </w:r>
      <w:r w:rsidR="001E0B1F" w:rsidRPr="00273B42">
        <w:rPr>
          <w:lang w:val="ro-RO"/>
        </w:rPr>
        <w:t>rcare la cererea de finan</w:t>
      </w:r>
      <w:r w:rsidR="00EC71BF">
        <w:rPr>
          <w:lang w:val="ro-RO"/>
        </w:rPr>
        <w:t>ț</w:t>
      </w:r>
      <w:r w:rsidR="001E0B1F" w:rsidRPr="00273B42">
        <w:rPr>
          <w:lang w:val="ro-RO"/>
        </w:rPr>
        <w:t>are sau prin depunerea unei solicit</w:t>
      </w:r>
      <w:r w:rsidR="00EC71BF">
        <w:rPr>
          <w:lang w:val="ro-RO"/>
        </w:rPr>
        <w:t>ă</w:t>
      </w:r>
      <w:r w:rsidR="001E0B1F" w:rsidRPr="00273B42">
        <w:rPr>
          <w:lang w:val="ro-RO"/>
        </w:rPr>
        <w:t xml:space="preserve">ri </w:t>
      </w:r>
      <w:r w:rsidR="008F32E7" w:rsidRPr="00273B42">
        <w:rPr>
          <w:lang w:val="ro-RO"/>
        </w:rPr>
        <w:t>distincte</w:t>
      </w:r>
      <w:r w:rsidR="001E0B1F" w:rsidRPr="00273B42">
        <w:rPr>
          <w:lang w:val="ro-RO"/>
        </w:rPr>
        <w:t xml:space="preserve"> </w:t>
      </w:r>
      <w:r w:rsidR="00EC71BF">
        <w:rPr>
          <w:lang w:val="ro-RO"/>
        </w:rPr>
        <w:t>î</w:t>
      </w:r>
      <w:r w:rsidR="001E0B1F" w:rsidRPr="00273B42">
        <w:rPr>
          <w:lang w:val="ro-RO"/>
        </w:rPr>
        <w:t>n cadrul investi</w:t>
      </w:r>
      <w:r w:rsidR="00EC71BF">
        <w:rPr>
          <w:lang w:val="ro-RO"/>
        </w:rPr>
        <w:t>ț</w:t>
      </w:r>
      <w:r w:rsidR="001E0B1F" w:rsidRPr="00273B42">
        <w:rPr>
          <w:lang w:val="ro-RO"/>
        </w:rPr>
        <w:t>iei I</w:t>
      </w:r>
      <w:r w:rsidR="00C0763B">
        <w:rPr>
          <w:lang w:val="ro-RO"/>
        </w:rPr>
        <w:t>.</w:t>
      </w:r>
      <w:r w:rsidR="001E0B1F" w:rsidRPr="00273B42">
        <w:rPr>
          <w:lang w:val="ro-RO"/>
        </w:rPr>
        <w:t xml:space="preserve">1.3 </w:t>
      </w:r>
      <w:r w:rsidR="001E0B1F" w:rsidRPr="00273B42">
        <w:rPr>
          <w:i/>
          <w:lang w:val="ro-RO"/>
        </w:rPr>
        <w:t>Asigurarea infrastructurii pentru transportul verde – puncte de re</w:t>
      </w:r>
      <w:r w:rsidR="00EC71BF">
        <w:rPr>
          <w:i/>
          <w:lang w:val="ro-RO"/>
        </w:rPr>
        <w:t>î</w:t>
      </w:r>
      <w:r w:rsidR="001E0B1F" w:rsidRPr="00273B42">
        <w:rPr>
          <w:i/>
          <w:lang w:val="ro-RO"/>
        </w:rPr>
        <w:t>nc</w:t>
      </w:r>
      <w:r w:rsidR="00EC71BF">
        <w:rPr>
          <w:i/>
          <w:lang w:val="ro-RO"/>
        </w:rPr>
        <w:t>ă</w:t>
      </w:r>
      <w:r w:rsidR="001E0B1F" w:rsidRPr="00273B42">
        <w:rPr>
          <w:i/>
          <w:lang w:val="ro-RO"/>
        </w:rPr>
        <w:t>rcare vehicule electrice.”</w:t>
      </w:r>
      <w:r w:rsidR="001E0B1F" w:rsidRPr="00273B42">
        <w:rPr>
          <w:lang w:val="ro-RO"/>
        </w:rPr>
        <w:t xml:space="preserve"> </w:t>
      </w:r>
    </w:p>
    <w:p w14:paraId="0C4453F3" w14:textId="27DEDFC6" w:rsidR="00ED431E" w:rsidRPr="009C6DA3" w:rsidRDefault="00C0767B" w:rsidP="008F32E7">
      <w:pPr>
        <w:spacing w:after="144"/>
        <w:ind w:left="-5" w:right="0"/>
        <w:rPr>
          <w:lang w:val="ro-RO"/>
        </w:rPr>
      </w:pPr>
      <w:r w:rsidRPr="009C6DA3">
        <w:rPr>
          <w:b/>
          <w:lang w:val="ro-RO"/>
        </w:rPr>
        <w:t xml:space="preserve">Art. </w:t>
      </w:r>
      <w:r w:rsidR="00891344" w:rsidRPr="00630A20">
        <w:rPr>
          <w:b/>
          <w:color w:val="auto"/>
          <w:lang w:val="ro-RO"/>
        </w:rPr>
        <w:t>II</w:t>
      </w:r>
      <w:r w:rsidR="00891344" w:rsidRPr="009C6DA3">
        <w:rPr>
          <w:lang w:val="ro-RO"/>
        </w:rPr>
        <w:t xml:space="preserve"> </w:t>
      </w:r>
      <w:r w:rsidRPr="009C6DA3">
        <w:rPr>
          <w:lang w:val="ro-RO"/>
        </w:rPr>
        <w:t>-  Prezentul ordin se public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 </w:t>
      </w:r>
      <w:r w:rsidR="00EC71BF">
        <w:rPr>
          <w:lang w:val="ro-RO"/>
        </w:rPr>
        <w:t>î</w:t>
      </w:r>
      <w:r w:rsidRPr="009C6DA3">
        <w:rPr>
          <w:lang w:val="ro-RO"/>
        </w:rPr>
        <w:t>n Monitorul Oficial al Rom</w:t>
      </w:r>
      <w:r w:rsidR="00EC71BF">
        <w:rPr>
          <w:lang w:val="ro-RO"/>
        </w:rPr>
        <w:t>â</w:t>
      </w:r>
      <w:r w:rsidRPr="009C6DA3">
        <w:rPr>
          <w:lang w:val="ro-RO"/>
        </w:rPr>
        <w:t xml:space="preserve">niei, Partea I. </w:t>
      </w:r>
    </w:p>
    <w:p w14:paraId="34553997" w14:textId="77777777" w:rsidR="00ED431E" w:rsidRPr="009C6DA3" w:rsidRDefault="00C0767B">
      <w:pPr>
        <w:spacing w:after="0" w:line="259" w:lineRule="auto"/>
        <w:ind w:left="70" w:right="0" w:firstLine="0"/>
        <w:jc w:val="center"/>
        <w:rPr>
          <w:lang w:val="ro-RO"/>
        </w:rPr>
      </w:pPr>
      <w:r w:rsidRPr="009C6DA3">
        <w:rPr>
          <w:b/>
          <w:lang w:val="ro-RO"/>
        </w:rPr>
        <w:t xml:space="preserve"> </w:t>
      </w:r>
    </w:p>
    <w:p w14:paraId="448F250E" w14:textId="77777777" w:rsidR="00ED431E" w:rsidRPr="009C6DA3" w:rsidRDefault="00C0767B">
      <w:pPr>
        <w:spacing w:after="0" w:line="259" w:lineRule="auto"/>
        <w:ind w:left="70" w:right="0" w:firstLine="0"/>
        <w:jc w:val="center"/>
        <w:rPr>
          <w:lang w:val="ro-RO"/>
        </w:rPr>
      </w:pPr>
      <w:r w:rsidRPr="009C6DA3">
        <w:rPr>
          <w:b/>
          <w:lang w:val="ro-RO"/>
        </w:rPr>
        <w:t xml:space="preserve"> </w:t>
      </w:r>
    </w:p>
    <w:p w14:paraId="428D63B3" w14:textId="77777777" w:rsidR="00ED431E" w:rsidRPr="009C6DA3" w:rsidRDefault="00C0767B">
      <w:pPr>
        <w:spacing w:after="0" w:line="259" w:lineRule="auto"/>
        <w:ind w:left="70" w:right="0" w:firstLine="0"/>
        <w:jc w:val="center"/>
        <w:rPr>
          <w:lang w:val="ro-RO"/>
        </w:rPr>
      </w:pPr>
      <w:r w:rsidRPr="009C6DA3">
        <w:rPr>
          <w:b/>
          <w:lang w:val="ro-RO"/>
        </w:rPr>
        <w:t xml:space="preserve"> </w:t>
      </w:r>
    </w:p>
    <w:p w14:paraId="4536AD28" w14:textId="32196B9C" w:rsidR="001545A9" w:rsidRPr="009C6DA3" w:rsidRDefault="00C0767B">
      <w:pPr>
        <w:pStyle w:val="Heading2"/>
        <w:rPr>
          <w:lang w:val="ro-RO"/>
        </w:rPr>
      </w:pPr>
      <w:r w:rsidRPr="009C6DA3">
        <w:rPr>
          <w:lang w:val="ro-RO"/>
        </w:rPr>
        <w:t>MINISTRUL DEZVOLT</w:t>
      </w:r>
      <w:r w:rsidR="00EC71BF">
        <w:rPr>
          <w:lang w:val="ro-RO"/>
        </w:rPr>
        <w:t>Ă</w:t>
      </w:r>
      <w:r w:rsidRPr="009C6DA3">
        <w:rPr>
          <w:lang w:val="ro-RO"/>
        </w:rPr>
        <w:t>RII, LUCR</w:t>
      </w:r>
      <w:r w:rsidR="00EC71BF">
        <w:rPr>
          <w:lang w:val="ro-RO"/>
        </w:rPr>
        <w:t>Ă</w:t>
      </w:r>
      <w:r w:rsidRPr="009C6DA3">
        <w:rPr>
          <w:lang w:val="ro-RO"/>
        </w:rPr>
        <w:t xml:space="preserve">RILOR PUBLICE </w:t>
      </w:r>
      <w:r w:rsidR="00EC71BF">
        <w:rPr>
          <w:lang w:val="ro-RO"/>
        </w:rPr>
        <w:t>Ș</w:t>
      </w:r>
      <w:r w:rsidRPr="009C6DA3">
        <w:rPr>
          <w:lang w:val="ro-RO"/>
        </w:rPr>
        <w:t>I ADMINISTRA</w:t>
      </w:r>
      <w:r w:rsidR="00EC71BF">
        <w:rPr>
          <w:lang w:val="ro-RO"/>
        </w:rPr>
        <w:t>Ț</w:t>
      </w:r>
      <w:r w:rsidRPr="009C6DA3">
        <w:rPr>
          <w:lang w:val="ro-RO"/>
        </w:rPr>
        <w:t xml:space="preserve">IEI </w:t>
      </w:r>
    </w:p>
    <w:p w14:paraId="5D9DBD48" w14:textId="77777777" w:rsidR="00ED431E" w:rsidRPr="009C6DA3" w:rsidRDefault="00C0767B">
      <w:pPr>
        <w:pStyle w:val="Heading2"/>
        <w:rPr>
          <w:lang w:val="ro-RO"/>
        </w:rPr>
      </w:pPr>
      <w:r w:rsidRPr="009C6DA3">
        <w:rPr>
          <w:lang w:val="ro-RO"/>
        </w:rPr>
        <w:t xml:space="preserve">CSEKE ATTILA </w:t>
      </w:r>
    </w:p>
    <w:p w14:paraId="2C3DE7FE" w14:textId="2C0E976E" w:rsidR="00790FD0" w:rsidRDefault="00C0767B" w:rsidP="00A40A37">
      <w:pPr>
        <w:spacing w:after="0" w:line="259" w:lineRule="auto"/>
        <w:ind w:left="0" w:right="0" w:firstLine="0"/>
        <w:jc w:val="left"/>
        <w:rPr>
          <w:b/>
          <w:lang w:val="ro-RO"/>
        </w:rPr>
      </w:pPr>
      <w:r w:rsidRPr="009C6DA3">
        <w:rPr>
          <w:b/>
          <w:lang w:val="ro-RO"/>
        </w:rPr>
        <w:t xml:space="preserve"> </w:t>
      </w:r>
      <w:bookmarkStart w:id="0" w:name="_GoBack"/>
      <w:bookmarkEnd w:id="0"/>
    </w:p>
    <w:p w14:paraId="5DF9CDFE" w14:textId="77777777" w:rsidR="00790FD0" w:rsidRDefault="00790FD0" w:rsidP="00C0767B">
      <w:pPr>
        <w:spacing w:after="0" w:line="259" w:lineRule="auto"/>
        <w:ind w:left="0" w:right="0" w:firstLine="0"/>
        <w:rPr>
          <w:b/>
          <w:lang w:val="ro-RO"/>
        </w:rPr>
      </w:pPr>
    </w:p>
    <w:sectPr w:rsidR="00790FD0" w:rsidSect="00253E29">
      <w:type w:val="continuous"/>
      <w:pgSz w:w="11906" w:h="16838"/>
      <w:pgMar w:top="1114" w:right="1129" w:bottom="922" w:left="1702" w:header="720" w:footer="720" w:gutter="0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977EB" w16cex:dateUtc="2022-10-06T12:51:00Z"/>
  <w16cex:commentExtensible w16cex:durableId="26E9790C" w16cex:dateUtc="2022-10-06T12:55:00Z"/>
  <w16cex:commentExtensible w16cex:durableId="26E97AA0" w16cex:dateUtc="2022-10-06T13:02:00Z"/>
  <w16cex:commentExtensible w16cex:durableId="26E97BA9" w16cex:dateUtc="2022-10-06T13:07:00Z"/>
  <w16cex:commentExtensible w16cex:durableId="26E97BBB" w16cex:dateUtc="2022-10-06T13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98EF08" w16cid:durableId="26E977EB"/>
  <w16cid:commentId w16cid:paraId="6E95AF7E" w16cid:durableId="26E9790C"/>
  <w16cid:commentId w16cid:paraId="16705739" w16cid:durableId="26E97AA0"/>
  <w16cid:commentId w16cid:paraId="556F0882" w16cid:durableId="26E97BA9"/>
  <w16cid:commentId w16cid:paraId="5342E2A1" w16cid:durableId="26E97BB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19236" w14:textId="77777777" w:rsidR="003F43CF" w:rsidRDefault="003F43CF" w:rsidP="003C7888">
      <w:pPr>
        <w:spacing w:after="0" w:line="240" w:lineRule="auto"/>
      </w:pPr>
      <w:r>
        <w:separator/>
      </w:r>
    </w:p>
  </w:endnote>
  <w:endnote w:type="continuationSeparator" w:id="0">
    <w:p w14:paraId="2F8397A9" w14:textId="77777777" w:rsidR="003F43CF" w:rsidRDefault="003F43CF" w:rsidP="003C7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jan Pro">
    <w:altName w:val="Georgia"/>
    <w:panose1 w:val="02020502050506020301"/>
    <w:charset w:val="00"/>
    <w:family w:val="roma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78203" w14:textId="77777777" w:rsidR="00253E29" w:rsidRDefault="00253E29" w:rsidP="00253E29">
    <w:pPr>
      <w:pStyle w:val="Footer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45827" w14:textId="77777777" w:rsidR="003F43CF" w:rsidRDefault="003F43CF" w:rsidP="003C7888">
      <w:pPr>
        <w:spacing w:after="0" w:line="240" w:lineRule="auto"/>
      </w:pPr>
      <w:r>
        <w:separator/>
      </w:r>
    </w:p>
  </w:footnote>
  <w:footnote w:type="continuationSeparator" w:id="0">
    <w:p w14:paraId="54E79082" w14:textId="77777777" w:rsidR="003F43CF" w:rsidRDefault="003F43CF" w:rsidP="003C7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FA2F5" w14:textId="65B9D9DF" w:rsidR="00253E29" w:rsidRPr="00253E29" w:rsidRDefault="00276B56" w:rsidP="00253E29">
    <w:pPr>
      <w:pStyle w:val="Header"/>
      <w:tabs>
        <w:tab w:val="clear" w:pos="4513"/>
        <w:tab w:val="clear" w:pos="9026"/>
        <w:tab w:val="left" w:pos="2775"/>
      </w:tabs>
    </w:pPr>
    <w:r w:rsidRPr="00253E29">
      <w:t xml:space="preserve"> </w:t>
    </w:r>
    <w:r w:rsidR="00253E29">
      <w:tab/>
    </w:r>
  </w:p>
  <w:p w14:paraId="40A20366" w14:textId="720FDDB8" w:rsidR="003C7888" w:rsidRPr="00253E29" w:rsidRDefault="003C7888" w:rsidP="00253E29">
    <w:pPr>
      <w:pStyle w:val="Header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FC9CC" w14:textId="679A8097" w:rsidR="00253E29" w:rsidRDefault="00253E29" w:rsidP="00253E29">
    <w:pPr>
      <w:pStyle w:val="Instituie"/>
      <w:spacing w:after="0" w:line="240" w:lineRule="auto"/>
    </w:pPr>
    <w:r w:rsidRPr="00D32C37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1DC5484" wp14:editId="30AA8D31">
          <wp:simplePos x="0" y="0"/>
          <wp:positionH relativeFrom="page">
            <wp:posOffset>540385</wp:posOffset>
          </wp:positionH>
          <wp:positionV relativeFrom="page">
            <wp:posOffset>236220</wp:posOffset>
          </wp:positionV>
          <wp:extent cx="899160" cy="899160"/>
          <wp:effectExtent l="0" t="0" r="0" b="0"/>
          <wp:wrapTight wrapText="bothSides">
            <wp:wrapPolygon edited="0">
              <wp:start x="5949" y="0"/>
              <wp:lineTo x="0" y="4119"/>
              <wp:lineTo x="0" y="16017"/>
              <wp:lineTo x="5034" y="21051"/>
              <wp:lineTo x="6407" y="21051"/>
              <wp:lineTo x="14644" y="21051"/>
              <wp:lineTo x="16017" y="21051"/>
              <wp:lineTo x="21051" y="16017"/>
              <wp:lineTo x="21051" y="3203"/>
              <wp:lineTo x="14644" y="0"/>
              <wp:lineTo x="5949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1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MINISTERUL DEZVOLTĂRII, </w:t>
    </w:r>
  </w:p>
  <w:p w14:paraId="08BD7393" w14:textId="77777777" w:rsidR="00253E29" w:rsidRDefault="00253E29" w:rsidP="00253E29">
    <w:pPr>
      <w:pStyle w:val="Instituie"/>
      <w:spacing w:after="0" w:line="240" w:lineRule="auto"/>
    </w:pPr>
    <w:r>
      <w:t xml:space="preserve">LUCRĂRILOR PUBLICE ȘI ADMINISTRAȚIEI </w:t>
    </w:r>
  </w:p>
  <w:p w14:paraId="6707876C" w14:textId="77777777" w:rsidR="00253E29" w:rsidRPr="00FE40F9" w:rsidRDefault="00253E29" w:rsidP="00253E29">
    <w:pPr>
      <w:pStyle w:val="Instituie"/>
      <w:spacing w:after="0" w:line="240" w:lineRule="auto"/>
      <w:rPr>
        <w:rFonts w:ascii="Trebuchet MS" w:hAnsi="Trebuchet MS"/>
      </w:rPr>
    </w:pPr>
    <w:r w:rsidRPr="00FE40F9">
      <w:rPr>
        <w:rFonts w:ascii="Trebuchet MS" w:hAnsi="Trebuchet MS"/>
      </w:rPr>
      <w:t xml:space="preserve"> </w:t>
    </w:r>
  </w:p>
  <w:p w14:paraId="66E888FE" w14:textId="68D251D6" w:rsidR="00253E29" w:rsidRPr="00A57F3F" w:rsidRDefault="00253E29" w:rsidP="00253E29">
    <w:pPr>
      <w:pStyle w:val="Header"/>
      <w:rPr>
        <w:b/>
        <w:color w:val="000000" w:themeColor="text1"/>
        <w:sz w:val="18"/>
        <w:szCs w:val="18"/>
      </w:rPr>
    </w:pPr>
  </w:p>
  <w:p w14:paraId="124F9FDE" w14:textId="77777777" w:rsidR="00253E29" w:rsidRPr="00253E29" w:rsidRDefault="00253E29" w:rsidP="00253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6613"/>
    <w:multiLevelType w:val="multilevel"/>
    <w:tmpl w:val="480EB842"/>
    <w:lvl w:ilvl="0">
      <w:start w:val="1"/>
      <w:numFmt w:val="upperRoman"/>
      <w:lvlText w:val="%1"/>
      <w:lvlJc w:val="left"/>
      <w:pPr>
        <w:ind w:left="1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38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73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5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7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9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1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3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5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D93D33"/>
    <w:multiLevelType w:val="hybridMultilevel"/>
    <w:tmpl w:val="2C005902"/>
    <w:lvl w:ilvl="0" w:tplc="23B41C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F86056">
      <w:start w:val="1"/>
      <w:numFmt w:val="bullet"/>
      <w:lvlText w:val="o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02D794">
      <w:start w:val="1"/>
      <w:numFmt w:val="bullet"/>
      <w:lvlText w:val="▪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A0B7E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36407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D64EF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58DD0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C8AF3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8A6BE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2AB4B6A"/>
    <w:multiLevelType w:val="multilevel"/>
    <w:tmpl w:val="ED0812B4"/>
    <w:lvl w:ilvl="0">
      <w:start w:val="1"/>
      <w:numFmt w:val="upperRoman"/>
      <w:lvlText w:val="%1"/>
      <w:lvlJc w:val="left"/>
      <w:pPr>
        <w:ind w:left="36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36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73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71535D6"/>
    <w:multiLevelType w:val="hybridMultilevel"/>
    <w:tmpl w:val="A3964928"/>
    <w:lvl w:ilvl="0" w:tplc="A6603E70">
      <w:start w:val="1"/>
      <w:numFmt w:val="decimal"/>
      <w:lvlText w:val="%1."/>
      <w:lvlJc w:val="left"/>
      <w:pPr>
        <w:ind w:left="28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58F152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BA75A4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B887E0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C03928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C42C66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F00664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0CA300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FEB960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31E"/>
    <w:rsid w:val="0012091C"/>
    <w:rsid w:val="001545A9"/>
    <w:rsid w:val="001E0B1F"/>
    <w:rsid w:val="002537F7"/>
    <w:rsid w:val="00253E29"/>
    <w:rsid w:val="00273B42"/>
    <w:rsid w:val="00276B56"/>
    <w:rsid w:val="002F6CA0"/>
    <w:rsid w:val="003800A9"/>
    <w:rsid w:val="003A3880"/>
    <w:rsid w:val="003C7888"/>
    <w:rsid w:val="003F43CF"/>
    <w:rsid w:val="00466DBD"/>
    <w:rsid w:val="004C58D9"/>
    <w:rsid w:val="004E2F87"/>
    <w:rsid w:val="00502C05"/>
    <w:rsid w:val="005526B4"/>
    <w:rsid w:val="00630A20"/>
    <w:rsid w:val="006B4B41"/>
    <w:rsid w:val="00790FD0"/>
    <w:rsid w:val="007E69D7"/>
    <w:rsid w:val="00805155"/>
    <w:rsid w:val="00864740"/>
    <w:rsid w:val="00891344"/>
    <w:rsid w:val="008935F9"/>
    <w:rsid w:val="008F32E7"/>
    <w:rsid w:val="009C6DA3"/>
    <w:rsid w:val="009E0BDE"/>
    <w:rsid w:val="009E165B"/>
    <w:rsid w:val="00A40A37"/>
    <w:rsid w:val="00A56568"/>
    <w:rsid w:val="00A73F63"/>
    <w:rsid w:val="00A82773"/>
    <w:rsid w:val="00A86F60"/>
    <w:rsid w:val="00AD5410"/>
    <w:rsid w:val="00BB4880"/>
    <w:rsid w:val="00BE3F49"/>
    <w:rsid w:val="00BF6DD1"/>
    <w:rsid w:val="00C0763B"/>
    <w:rsid w:val="00C0767B"/>
    <w:rsid w:val="00C23278"/>
    <w:rsid w:val="00C77E8E"/>
    <w:rsid w:val="00CF5351"/>
    <w:rsid w:val="00D359F0"/>
    <w:rsid w:val="00E1100B"/>
    <w:rsid w:val="00E5450E"/>
    <w:rsid w:val="00EC1BD8"/>
    <w:rsid w:val="00EC71BF"/>
    <w:rsid w:val="00ED431E"/>
    <w:rsid w:val="00F9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7A0A51"/>
  <w15:docId w15:val="{9D1E5FCD-9515-4810-8609-3FAE69C8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9" w:lineRule="auto"/>
      <w:ind w:left="10" w:right="8" w:hanging="10"/>
      <w:jc w:val="both"/>
    </w:pPr>
    <w:rPr>
      <w:rFonts w:ascii="Trebuchet MS" w:eastAsia="Trebuchet MS" w:hAnsi="Trebuchet MS" w:cs="Trebuchet MS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710"/>
      <w:jc w:val="right"/>
      <w:outlineLvl w:val="0"/>
    </w:pPr>
    <w:rPr>
      <w:rFonts w:ascii="Georgia" w:eastAsia="Georgia" w:hAnsi="Georgia" w:cs="Georgia"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right="9" w:hanging="10"/>
      <w:jc w:val="center"/>
      <w:outlineLvl w:val="1"/>
    </w:pPr>
    <w:rPr>
      <w:rFonts w:ascii="Trebuchet MS" w:eastAsia="Trebuchet MS" w:hAnsi="Trebuchet MS" w:cs="Trebuchet MS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rebuchet MS" w:eastAsia="Trebuchet MS" w:hAnsi="Trebuchet MS" w:cs="Trebuchet MS"/>
      <w:b/>
      <w:color w:val="000000"/>
      <w:sz w:val="24"/>
    </w:rPr>
  </w:style>
  <w:style w:type="character" w:customStyle="1" w:styleId="Heading1Char">
    <w:name w:val="Heading 1 Char"/>
    <w:link w:val="Heading1"/>
    <w:rPr>
      <w:rFonts w:ascii="Georgia" w:eastAsia="Georgia" w:hAnsi="Georgia" w:cs="Georgia"/>
      <w:color w:val="000000"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7E69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9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9D7"/>
    <w:rPr>
      <w:rFonts w:ascii="Trebuchet MS" w:eastAsia="Trebuchet MS" w:hAnsi="Trebuchet MS" w:cs="Trebuchet MS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9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9D7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5F9"/>
    <w:rPr>
      <w:rFonts w:ascii="Segoe UI" w:eastAsia="Trebuchet MS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630A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78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888"/>
    <w:rPr>
      <w:rFonts w:ascii="Trebuchet MS" w:eastAsia="Trebuchet MS" w:hAnsi="Trebuchet MS" w:cs="Trebuchet MS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3C78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888"/>
    <w:rPr>
      <w:rFonts w:ascii="Trebuchet MS" w:eastAsia="Trebuchet MS" w:hAnsi="Trebuchet MS" w:cs="Trebuchet MS"/>
      <w:color w:val="000000"/>
      <w:sz w:val="24"/>
    </w:rPr>
  </w:style>
  <w:style w:type="table" w:styleId="TableGrid">
    <w:name w:val="Table Grid"/>
    <w:basedOn w:val="TableNormal"/>
    <w:uiPriority w:val="39"/>
    <w:rsid w:val="00253E2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ituie">
    <w:name w:val="Instituție"/>
    <w:basedOn w:val="Normal"/>
    <w:link w:val="InstituieChar"/>
    <w:qFormat/>
    <w:rsid w:val="00253E29"/>
    <w:pPr>
      <w:spacing w:after="160" w:line="259" w:lineRule="auto"/>
      <w:ind w:left="0" w:right="0" w:firstLine="0"/>
      <w:jc w:val="left"/>
    </w:pPr>
    <w:rPr>
      <w:rFonts w:ascii="Trajan Pro" w:eastAsiaTheme="minorHAnsi" w:hAnsi="Trajan Pro" w:cstheme="minorBidi"/>
      <w:color w:val="auto"/>
      <w:sz w:val="32"/>
      <w:szCs w:val="32"/>
      <w:lang w:val="ro-RO"/>
    </w:rPr>
  </w:style>
  <w:style w:type="character" w:customStyle="1" w:styleId="InstituieChar">
    <w:name w:val="Instituție Char"/>
    <w:basedOn w:val="DefaultParagraphFont"/>
    <w:link w:val="Instituie"/>
    <w:rsid w:val="00253E29"/>
    <w:rPr>
      <w:rFonts w:ascii="Trajan Pro" w:eastAsiaTheme="minorHAnsi" w:hAnsi="Trajan Pro"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253E29"/>
    <w:rPr>
      <w:color w:val="0563C1" w:themeColor="hyperlink"/>
      <w:u w:val="single"/>
    </w:rPr>
  </w:style>
  <w:style w:type="character" w:styleId="Strong">
    <w:name w:val="Strong"/>
    <w:basedOn w:val="DefaultParagraphFont"/>
    <w:qFormat/>
    <w:rsid w:val="00253E29"/>
    <w:rPr>
      <w:b/>
      <w:bCs/>
    </w:rPr>
  </w:style>
  <w:style w:type="paragraph" w:styleId="Revision">
    <w:name w:val="Revision"/>
    <w:hidden/>
    <w:uiPriority w:val="99"/>
    <w:semiHidden/>
    <w:rsid w:val="00A86F60"/>
    <w:pPr>
      <w:spacing w:after="0" w:line="240" w:lineRule="auto"/>
    </w:pPr>
    <w:rPr>
      <w:rFonts w:ascii="Trebuchet MS" w:eastAsia="Trebuchet MS" w:hAnsi="Trebuchet MS" w:cs="Trebuchet MS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2FC8-A42C-4780-A7B8-1D97A40B4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Negoita</dc:creator>
  <cp:keywords/>
  <cp:lastModifiedBy>Silvia Ionescu</cp:lastModifiedBy>
  <cp:revision>10</cp:revision>
  <cp:lastPrinted>2022-10-05T12:26:00Z</cp:lastPrinted>
  <dcterms:created xsi:type="dcterms:W3CDTF">2022-10-05T13:18:00Z</dcterms:created>
  <dcterms:modified xsi:type="dcterms:W3CDTF">2022-10-07T09:57:00Z</dcterms:modified>
</cp:coreProperties>
</file>