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A83D28" w:rsidRDefault="00FD6A40" w:rsidP="00AC2355">
      <w:pPr>
        <w:pStyle w:val="BodyText"/>
        <w:jc w:val="right"/>
        <w:rPr>
          <w:rFonts w:asciiTheme="minorHAnsi" w:eastAsiaTheme="minorHAnsi" w:hAnsiTheme="minorHAnsi"/>
          <w:bCs w:val="0"/>
          <w:sz w:val="22"/>
          <w:szCs w:val="22"/>
        </w:rPr>
      </w:pPr>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Pr="00A83D28">
        <w:rPr>
          <w:rFonts w:asciiTheme="minorHAnsi" w:eastAsiaTheme="minorHAnsi" w:hAnsiTheme="minorHAnsi"/>
          <w:bCs w:val="0"/>
          <w:sz w:val="22"/>
          <w:szCs w:val="22"/>
        </w:rPr>
        <w:t>b</w:t>
      </w:r>
      <w:r w:rsidR="00E203E3" w:rsidRPr="00A83D28">
        <w:rPr>
          <w:rFonts w:asciiTheme="minorHAnsi" w:eastAsiaTheme="minorHAnsi" w:hAnsiTheme="minorHAnsi"/>
          <w:bCs w:val="0"/>
          <w:sz w:val="22"/>
          <w:szCs w:val="22"/>
        </w:rPr>
        <w:t xml:space="preserve"> </w:t>
      </w:r>
      <w:r w:rsidR="00A74967">
        <w:rPr>
          <w:rFonts w:asciiTheme="minorHAnsi" w:eastAsiaTheme="minorHAnsi" w:hAnsiTheme="minorHAnsi"/>
          <w:bCs w:val="0"/>
          <w:sz w:val="22"/>
          <w:szCs w:val="22"/>
        </w:rPr>
        <w:t>SUERD</w:t>
      </w:r>
    </w:p>
    <w:p w:rsidR="00191BBD" w:rsidRPr="00A83D28" w:rsidRDefault="00191BBD" w:rsidP="00AC2355">
      <w:pPr>
        <w:pStyle w:val="BodyText"/>
        <w:jc w:val="right"/>
        <w:rPr>
          <w:rFonts w:asciiTheme="minorHAnsi" w:eastAsiaTheme="minorHAnsi" w:hAnsiTheme="minorHAnsi"/>
          <w:bCs w:val="0"/>
          <w:sz w:val="22"/>
          <w:szCs w:val="22"/>
        </w:rPr>
      </w:pPr>
    </w:p>
    <w:p w:rsidR="00AC2355" w:rsidRPr="00A83D28" w:rsidRDefault="00AC2355"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 xml:space="preserve">Partea scrisă cuprinde foaia de capăt în care sunt </w:t>
            </w:r>
            <w:proofErr w:type="gramStart"/>
            <w:r w:rsidRPr="00A83D28">
              <w:rPr>
                <w:rFonts w:cs="Arial"/>
              </w:rPr>
              <w:t>prezentate:?</w:t>
            </w:r>
            <w:proofErr w:type="gramEnd"/>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lastRenderedPageBreak/>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0" w:name="do|ax3|ca5|al4|pa1"/>
            <w:bookmarkEnd w:id="0"/>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xml:space="preserve">* 1 Varianta zero </w:t>
            </w:r>
            <w:proofErr w:type="gramStart"/>
            <w:r w:rsidRPr="00A83D28">
              <w:rPr>
                <w:rFonts w:cs="Arial"/>
              </w:rPr>
              <w:t>( variant</w:t>
            </w:r>
            <w:r w:rsidR="005A67E4" w:rsidRPr="00A83D28">
              <w:rPr>
                <w:rFonts w:cs="Arial"/>
              </w:rPr>
              <w:t>a</w:t>
            </w:r>
            <w:proofErr w:type="gramEnd"/>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 xml:space="preserve">Sursele de finanţare a investiţiei se constituie în conformitate cu legislaţia în vigoare şi constau în fonduri </w:t>
            </w:r>
            <w:r w:rsidR="00F11374" w:rsidRPr="00A83D28">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1" w:name="do|ax3|ca6|pt1"/>
            <w:bookmarkEnd w:id="1"/>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2" w:name="do|ax3|ca6|pt2"/>
            <w:bookmarkEnd w:id="2"/>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3" w:name="do|ax3|ca6|pt3"/>
            <w:bookmarkEnd w:id="3"/>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Planşele sunt numerotate/codificate, prezintă cartuş (cu format şi conținut conform standardelor) şi semnăturile 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E52E72" w:rsidP="00D31F70">
            <w:pPr>
              <w:jc w:val="center"/>
              <w:rPr>
                <w:rFonts w:cs="Arial"/>
                <w:b/>
                <w:lang w:val="ro-RO"/>
              </w:rPr>
            </w:pPr>
            <w:r>
              <w:rPr>
                <w:rFonts w:cs="Arial"/>
                <w:b/>
                <w:lang w:val="ro-RO"/>
              </w:rPr>
              <w:t>24</w:t>
            </w: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E52E72" w:rsidRPr="00A83D28" w:rsidTr="00EB2CB7">
        <w:trPr>
          <w:trHeight w:val="303"/>
        </w:trPr>
        <w:tc>
          <w:tcPr>
            <w:tcW w:w="710" w:type="dxa"/>
          </w:tcPr>
          <w:p w:rsidR="00E52E72" w:rsidRDefault="000F473F" w:rsidP="00D31F70">
            <w:pPr>
              <w:jc w:val="center"/>
              <w:rPr>
                <w:rFonts w:cs="Arial"/>
                <w:b/>
                <w:lang w:val="ro-RO"/>
              </w:rPr>
            </w:pPr>
            <w:r>
              <w:rPr>
                <w:rFonts w:cs="Arial"/>
                <w:b/>
                <w:lang w:val="ro-RO"/>
              </w:rPr>
              <w:t>25</w:t>
            </w:r>
          </w:p>
        </w:tc>
        <w:tc>
          <w:tcPr>
            <w:tcW w:w="5881" w:type="dxa"/>
          </w:tcPr>
          <w:p w:rsidR="00E52E72" w:rsidRPr="00A83D28" w:rsidRDefault="000F473F" w:rsidP="00944C70">
            <w:pPr>
              <w:jc w:val="both"/>
              <w:rPr>
                <w:rFonts w:cs="Arial"/>
                <w:lang w:val="ro-RO"/>
              </w:rPr>
            </w:pPr>
            <w:r w:rsidRPr="000F473F">
              <w:rPr>
                <w:rFonts w:cs="Arial"/>
              </w:rPr>
              <w:t>Documentele anexate la cererea de finantare care demonstreaza dreptul solicitantului/partenerilor de a executa lucrarile propuse, sunt cuprinzatoare fata de interventiile propuse a fi realizate prin proiect?</w:t>
            </w:r>
          </w:p>
        </w:tc>
        <w:tc>
          <w:tcPr>
            <w:tcW w:w="550" w:type="dxa"/>
          </w:tcPr>
          <w:p w:rsidR="00E52E72" w:rsidRPr="00A83D28" w:rsidRDefault="00E52E72" w:rsidP="00281A1A">
            <w:pPr>
              <w:jc w:val="both"/>
              <w:rPr>
                <w:rFonts w:cs="Arial"/>
                <w:lang w:val="ro-RO"/>
              </w:rPr>
            </w:pPr>
          </w:p>
        </w:tc>
        <w:tc>
          <w:tcPr>
            <w:tcW w:w="550" w:type="dxa"/>
          </w:tcPr>
          <w:p w:rsidR="00E52E72" w:rsidRPr="00A83D28" w:rsidRDefault="00E52E72" w:rsidP="00281A1A">
            <w:pPr>
              <w:jc w:val="both"/>
              <w:rPr>
                <w:rFonts w:cs="Arial"/>
                <w:lang w:val="ro-RO"/>
              </w:rPr>
            </w:pPr>
          </w:p>
        </w:tc>
        <w:tc>
          <w:tcPr>
            <w:tcW w:w="962" w:type="dxa"/>
          </w:tcPr>
          <w:p w:rsidR="00E52E72" w:rsidRPr="00A83D28" w:rsidRDefault="00E52E72" w:rsidP="00281A1A">
            <w:pPr>
              <w:jc w:val="both"/>
              <w:rPr>
                <w:rFonts w:cs="Arial"/>
                <w:lang w:val="ro-RO"/>
              </w:rPr>
            </w:pPr>
          </w:p>
        </w:tc>
        <w:tc>
          <w:tcPr>
            <w:tcW w:w="1554" w:type="dxa"/>
          </w:tcPr>
          <w:p w:rsidR="00E52E72" w:rsidRPr="00A83D28" w:rsidRDefault="00E52E72" w:rsidP="00281A1A">
            <w:pPr>
              <w:jc w:val="both"/>
              <w:rPr>
                <w:rFonts w:cs="Arial"/>
                <w:lang w:val="ro-RO"/>
              </w:rPr>
            </w:pPr>
          </w:p>
        </w:tc>
      </w:tr>
      <w:tr w:rsidR="00E52E72" w:rsidRPr="00A83D28" w:rsidTr="00EB2CB7">
        <w:trPr>
          <w:trHeight w:val="303"/>
        </w:trPr>
        <w:tc>
          <w:tcPr>
            <w:tcW w:w="710" w:type="dxa"/>
          </w:tcPr>
          <w:p w:rsidR="00E52E72" w:rsidRDefault="00E52E72" w:rsidP="00D31F70">
            <w:pPr>
              <w:jc w:val="center"/>
              <w:rPr>
                <w:rFonts w:cs="Arial"/>
                <w:b/>
                <w:lang w:val="ro-RO"/>
              </w:rPr>
            </w:pPr>
          </w:p>
        </w:tc>
        <w:tc>
          <w:tcPr>
            <w:tcW w:w="5881" w:type="dxa"/>
          </w:tcPr>
          <w:p w:rsidR="000F473F" w:rsidRPr="000F473F" w:rsidRDefault="000F473F" w:rsidP="000F473F">
            <w:pPr>
              <w:jc w:val="both"/>
              <w:rPr>
                <w:rFonts w:cs="Arial"/>
                <w:lang w:val="ro-RO"/>
              </w:rPr>
            </w:pPr>
            <w:r w:rsidRPr="000F473F">
              <w:rPr>
                <w:rFonts w:cs="Arial"/>
                <w:lang w:val="ro-RO"/>
              </w:rPr>
              <w:t>NOTA 1. 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E52E72" w:rsidRPr="00A83D28" w:rsidRDefault="000F473F" w:rsidP="000F473F">
            <w:pPr>
              <w:jc w:val="both"/>
              <w:rPr>
                <w:rFonts w:cs="Arial"/>
                <w:lang w:val="ro-RO"/>
              </w:rPr>
            </w:pPr>
            <w:r w:rsidRPr="000F473F">
              <w:rPr>
                <w:rFonts w:cs="Arial"/>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w:t>
            </w:r>
            <w:r w:rsidR="00F01C6E">
              <w:rPr>
                <w:rFonts w:cs="Arial"/>
                <w:lang w:val="ro-RO"/>
              </w:rPr>
              <w:t>n bugetul proiectului. Noua</w:t>
            </w:r>
            <w:r w:rsidRPr="000F473F">
              <w:rPr>
                <w:rFonts w:cs="Arial"/>
                <w:lang w:val="ro-RO"/>
              </w:rPr>
              <w:t xml:space="preserve"> documentaţie tehnico-economică reproiectată şi bugetul proiectului pot face subiectul evaluării tehnico-economice sau a unei evaluări tehnico-economice simplificate, conform prevederilor procedurale.</w:t>
            </w:r>
          </w:p>
        </w:tc>
        <w:tc>
          <w:tcPr>
            <w:tcW w:w="550" w:type="dxa"/>
          </w:tcPr>
          <w:p w:rsidR="00E52E72" w:rsidRPr="00A83D28" w:rsidRDefault="00E52E72" w:rsidP="00281A1A">
            <w:pPr>
              <w:jc w:val="both"/>
              <w:rPr>
                <w:rFonts w:cs="Arial"/>
                <w:lang w:val="ro-RO"/>
              </w:rPr>
            </w:pPr>
          </w:p>
        </w:tc>
        <w:tc>
          <w:tcPr>
            <w:tcW w:w="550" w:type="dxa"/>
          </w:tcPr>
          <w:p w:rsidR="00E52E72" w:rsidRPr="00A83D28" w:rsidRDefault="00E52E72" w:rsidP="00281A1A">
            <w:pPr>
              <w:jc w:val="both"/>
              <w:rPr>
                <w:rFonts w:cs="Arial"/>
                <w:lang w:val="ro-RO"/>
              </w:rPr>
            </w:pPr>
          </w:p>
        </w:tc>
        <w:tc>
          <w:tcPr>
            <w:tcW w:w="962" w:type="dxa"/>
          </w:tcPr>
          <w:p w:rsidR="00E52E72" w:rsidRPr="00A83D28" w:rsidRDefault="00E52E72" w:rsidP="00281A1A">
            <w:pPr>
              <w:jc w:val="both"/>
              <w:rPr>
                <w:rFonts w:cs="Arial"/>
                <w:lang w:val="ro-RO"/>
              </w:rPr>
            </w:pPr>
          </w:p>
        </w:tc>
        <w:tc>
          <w:tcPr>
            <w:tcW w:w="1554" w:type="dxa"/>
          </w:tcPr>
          <w:p w:rsidR="00E52E72" w:rsidRPr="00A83D28" w:rsidRDefault="00E52E72"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w:t>
            </w:r>
            <w:r w:rsidRPr="00A83D28">
              <w:rPr>
                <w:rFonts w:cs="Arial"/>
                <w:lang w:val="ro-RO"/>
              </w:rPr>
              <w:lastRenderedPageBreak/>
              <w:t xml:space="preserve">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la punctul II criteriile 5, 6, 7</w:t>
      </w:r>
    </w:p>
    <w:p w:rsidR="009B6E73" w:rsidRPr="00A83D28" w:rsidRDefault="0096741B" w:rsidP="0096741B">
      <w:pPr>
        <w:spacing w:after="0" w:line="240" w:lineRule="auto"/>
        <w:jc w:val="both"/>
        <w:rPr>
          <w:i/>
          <w:iCs/>
          <w:lang w:val="ro-RO"/>
        </w:rPr>
      </w:pPr>
      <w:r w:rsidRPr="00A83D28">
        <w:rPr>
          <w:i/>
          <w:iCs/>
          <w:lang w:val="ro-RO"/>
        </w:rPr>
        <w:t>** În cazul bifării cu NU la oricare dintre celelalte criterii proiectul nu se va respinge, se vor cere clarificări, în funcție de prevedrile ghidului specific și se vor formula recomandări de îmbunătățire a 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046484">
              <w:rPr>
                <w:rFonts w:cs="Arial"/>
                <w:b/>
              </w:rPr>
            </w:r>
            <w:r w:rsidR="00046484">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046484">
              <w:rPr>
                <w:rFonts w:cs="Arial"/>
                <w:b/>
              </w:rPr>
            </w:r>
            <w:r w:rsidR="00046484">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principalelor lucrări de </w:t>
            </w:r>
            <w:proofErr w:type="gramStart"/>
            <w:r w:rsidRPr="00A83D28">
              <w:rPr>
                <w:rFonts w:ascii="Trebuchet MS" w:eastAsia="Calibri" w:hAnsi="Trebuchet MS" w:cs="Times New Roman"/>
                <w:sz w:val="20"/>
                <w:szCs w:val="20"/>
              </w:rPr>
              <w:t>intervenţie ?</w:t>
            </w:r>
            <w:proofErr w:type="gramEnd"/>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după caz, şi a altor categorii de lucrări incluse în soluţia tehnică de intervenţie propusă, </w:t>
            </w:r>
            <w:r w:rsidRPr="00A83D28">
              <w:rPr>
                <w:rFonts w:ascii="Trebuchet MS" w:eastAsia="Calibri" w:hAnsi="Trebuchet MS" w:cs="Times New Roman"/>
                <w:sz w:val="20"/>
                <w:szCs w:val="20"/>
              </w:rPr>
              <w:lastRenderedPageBreak/>
              <w:t>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proiectantul general </w:t>
            </w:r>
            <w:proofErr w:type="gramStart"/>
            <w:r w:rsidRPr="00A83D28">
              <w:rPr>
                <w:rFonts w:ascii="Trebuchet MS" w:eastAsia="Calibri" w:hAnsi="Trebuchet MS" w:cs="Arial"/>
                <w:sz w:val="20"/>
                <w:szCs w:val="20"/>
              </w:rPr>
              <w:t>/  şeful</w:t>
            </w:r>
            <w:proofErr w:type="gramEnd"/>
            <w:r w:rsidRPr="00A83D28">
              <w:rPr>
                <w:rFonts w:ascii="Trebuchet MS" w:eastAsia="Calibri" w:hAnsi="Trebuchet MS" w:cs="Arial"/>
                <w:sz w:val="20"/>
                <w:szCs w:val="20"/>
              </w:rPr>
              <w:t xml:space="preserve">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F01C6E" w:rsidRPr="00A83D28" w:rsidTr="0094609D">
        <w:trPr>
          <w:trHeight w:val="303"/>
        </w:trPr>
        <w:tc>
          <w:tcPr>
            <w:tcW w:w="710" w:type="dxa"/>
            <w:shd w:val="clear" w:color="auto" w:fill="auto"/>
          </w:tcPr>
          <w:p w:rsidR="00F01C6E" w:rsidRPr="00A83D28" w:rsidRDefault="00F01C6E"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r w:rsidRPr="00F01C6E">
              <w:rPr>
                <w:rFonts w:ascii="Trebuchet MS" w:eastAsia="Calibri" w:hAnsi="Trebuchet MS" w:cs="Arial"/>
                <w:sz w:val="20"/>
                <w:szCs w:val="20"/>
              </w:rPr>
              <w:t>Documentele anexate la cererea de finantare care demonstreaza dreptul solicitantului/partenerilor de a executa lucrarile propuse, sunt cuprinzatoare fata de interventiile propuse a fi realizate prin proiect?</w:t>
            </w:r>
            <w:r w:rsidRPr="00F01C6E">
              <w:rPr>
                <w:rFonts w:ascii="Trebuchet MS" w:eastAsia="Calibri" w:hAnsi="Trebuchet MS" w:cs="Arial"/>
                <w:sz w:val="20"/>
                <w:szCs w:val="20"/>
                <w:lang w:val="ro-RO"/>
              </w:rPr>
              <w:t xml:space="preserve"> </w:t>
            </w:r>
            <w:r w:rsidRPr="00F01C6E">
              <w:rPr>
                <w:rFonts w:ascii="Trebuchet MS" w:eastAsia="Calibri" w:hAnsi="Trebuchet MS" w:cs="Arial"/>
                <w:b/>
                <w:sz w:val="20"/>
                <w:szCs w:val="20"/>
                <w:lang w:val="ro-RO"/>
              </w:rPr>
              <w:t>A se vedea NOTA 1</w:t>
            </w:r>
          </w:p>
        </w:tc>
        <w:tc>
          <w:tcPr>
            <w:tcW w:w="427"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r>
      <w:tr w:rsidR="00F01C6E" w:rsidRPr="00A83D28" w:rsidTr="0094609D">
        <w:trPr>
          <w:trHeight w:val="303"/>
        </w:trPr>
        <w:tc>
          <w:tcPr>
            <w:tcW w:w="710" w:type="dxa"/>
            <w:shd w:val="clear" w:color="auto" w:fill="auto"/>
          </w:tcPr>
          <w:p w:rsidR="00F01C6E" w:rsidRPr="00A83D28" w:rsidRDefault="00F01C6E" w:rsidP="00F01C6E">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rsidR="00F01C6E" w:rsidRPr="00F01C6E" w:rsidRDefault="00F01C6E" w:rsidP="00F01C6E">
            <w:pPr>
              <w:spacing w:before="60" w:after="60" w:line="240" w:lineRule="auto"/>
              <w:jc w:val="both"/>
              <w:rPr>
                <w:rFonts w:ascii="Trebuchet MS" w:eastAsia="Calibri" w:hAnsi="Trebuchet MS" w:cs="Arial"/>
                <w:b/>
                <w:sz w:val="20"/>
                <w:szCs w:val="20"/>
                <w:lang w:val="ro-RO"/>
              </w:rPr>
            </w:pPr>
            <w:r w:rsidRPr="00F01C6E">
              <w:rPr>
                <w:rFonts w:ascii="Trebuchet MS" w:eastAsia="Calibri" w:hAnsi="Trebuchet MS" w:cs="Arial"/>
                <w:b/>
                <w:sz w:val="20"/>
                <w:szCs w:val="20"/>
                <w:lang w:val="ro-RO"/>
              </w:rPr>
              <w:t xml:space="preserve">NOTA 1. </w:t>
            </w:r>
            <w:r w:rsidRPr="00F01C6E">
              <w:rPr>
                <w:rFonts w:ascii="Trebuchet MS" w:eastAsia="Calibri"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01C6E">
              <w:rPr>
                <w:rFonts w:ascii="Trebuchet MS" w:eastAsia="Calibri" w:hAnsi="Trebuchet MS" w:cs="Arial"/>
                <w:b/>
                <w:sz w:val="20"/>
                <w:szCs w:val="20"/>
                <w:lang w:val="ro-RO"/>
              </w:rPr>
              <w:t>.</w:t>
            </w:r>
          </w:p>
          <w:p w:rsidR="00F01C6E" w:rsidRPr="00F01C6E" w:rsidRDefault="00F01C6E" w:rsidP="00F01C6E">
            <w:pPr>
              <w:spacing w:before="60" w:after="60" w:line="240" w:lineRule="auto"/>
              <w:jc w:val="both"/>
              <w:rPr>
                <w:rFonts w:ascii="Trebuchet MS" w:eastAsia="Calibri" w:hAnsi="Trebuchet MS" w:cs="Arial"/>
                <w:sz w:val="20"/>
                <w:szCs w:val="20"/>
                <w:lang w:val="ro-RO"/>
              </w:rPr>
            </w:pPr>
            <w:r w:rsidRPr="00F01C6E">
              <w:rPr>
                <w:rFonts w:ascii="Trebuchet MS" w:eastAsia="Calibri" w:hAnsi="Trebuchet MS" w:cs="Arial"/>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w:t>
            </w:r>
            <w:r>
              <w:rPr>
                <w:rFonts w:ascii="Trebuchet MS" w:eastAsia="Calibri" w:hAnsi="Trebuchet MS" w:cs="Arial"/>
                <w:sz w:val="20"/>
                <w:szCs w:val="20"/>
                <w:lang w:val="ro-RO"/>
              </w:rPr>
              <w:t>a</w:t>
            </w:r>
            <w:r w:rsidRPr="00F01C6E">
              <w:rPr>
                <w:rFonts w:ascii="Trebuchet MS" w:eastAsia="Calibri" w:hAnsi="Trebuchet MS" w:cs="Arial"/>
                <w:sz w:val="20"/>
                <w:szCs w:val="20"/>
                <w:lang w:val="ro-RO"/>
              </w:rPr>
              <w:t xml:space="preserve"> documentaţie tehnico-economică reproiectată şi bugetul proiectului pot face subiectul evaluării tehnico-economice sau a unei evaluări tehnico-economice simplificate, conform prevederilor procedurale.</w:t>
            </w:r>
          </w:p>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F01C6E" w:rsidRPr="00A83D28" w:rsidRDefault="00F01C6E"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lastRenderedPageBreak/>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w:t>
            </w:r>
            <w:r w:rsidR="00E52E72">
              <w:rPr>
                <w:rFonts w:ascii="Trebuchet MS" w:eastAsia="Calibri" w:hAnsi="Trebuchet MS" w:cs="Arial"/>
                <w:sz w:val="20"/>
                <w:szCs w:val="20"/>
                <w:lang w:val="ro-RO"/>
              </w:rPr>
              <w:t>ma</w:t>
            </w:r>
            <w:r w:rsidRPr="00A83D28">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E52E72" w:rsidRPr="00A83D28" w:rsidTr="00E52E72">
        <w:trPr>
          <w:trHeight w:val="185"/>
        </w:trPr>
        <w:tc>
          <w:tcPr>
            <w:tcW w:w="710" w:type="dxa"/>
            <w:shd w:val="clear" w:color="auto" w:fill="auto"/>
          </w:tcPr>
          <w:p w:rsidR="00E52E72" w:rsidRPr="00A83D28" w:rsidRDefault="00E52E72"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r w:rsidRPr="00E52E72">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E52E72">
              <w:rPr>
                <w:rFonts w:ascii="Trebuchet MS" w:eastAsia="Cambria" w:hAnsi="Trebuchet MS" w:cs="Arial"/>
                <w:sz w:val="20"/>
                <w:szCs w:val="20"/>
                <w:lang w:val="ro-RO"/>
              </w:rPr>
              <w:t xml:space="preserve"> </w:t>
            </w:r>
            <w:r w:rsidRPr="00E52E72">
              <w:rPr>
                <w:rFonts w:ascii="Trebuchet MS" w:eastAsia="Cambria" w:hAnsi="Trebuchet MS" w:cs="Arial"/>
                <w:b/>
                <w:sz w:val="20"/>
                <w:szCs w:val="20"/>
                <w:lang w:val="ro-RO"/>
              </w:rPr>
              <w:t>A se vedea NOTA 1</w:t>
            </w:r>
          </w:p>
        </w:tc>
        <w:tc>
          <w:tcPr>
            <w:tcW w:w="427"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r>
      <w:tr w:rsidR="00E52E72" w:rsidRPr="00A83D28" w:rsidTr="00E52E72">
        <w:trPr>
          <w:trHeight w:val="185"/>
        </w:trPr>
        <w:tc>
          <w:tcPr>
            <w:tcW w:w="710" w:type="dxa"/>
            <w:shd w:val="clear" w:color="auto" w:fill="auto"/>
          </w:tcPr>
          <w:p w:rsidR="00E52E72" w:rsidRPr="00A83D28" w:rsidRDefault="00E52E72" w:rsidP="00E52E72">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rsidR="00E52E72" w:rsidRDefault="00E52E72" w:rsidP="00E52E72">
            <w:pPr>
              <w:spacing w:before="60" w:after="60" w:line="240" w:lineRule="auto"/>
              <w:jc w:val="both"/>
              <w:rPr>
                <w:rFonts w:ascii="Trebuchet MS" w:eastAsia="Calibri" w:hAnsi="Trebuchet MS" w:cs="Arial"/>
                <w:b/>
                <w:sz w:val="20"/>
                <w:szCs w:val="20"/>
                <w:lang w:val="ro-RO"/>
              </w:rPr>
            </w:pPr>
            <w:r w:rsidRPr="00E52E72">
              <w:rPr>
                <w:rFonts w:ascii="Trebuchet MS" w:eastAsia="Calibri" w:hAnsi="Trebuchet MS" w:cs="Arial"/>
                <w:b/>
                <w:sz w:val="20"/>
                <w:szCs w:val="20"/>
                <w:lang w:val="ro-RO"/>
              </w:rPr>
              <w:t xml:space="preserve">NOTA 1. </w:t>
            </w:r>
          </w:p>
          <w:p w:rsidR="00E52E72" w:rsidRPr="00E52E72" w:rsidRDefault="00E52E72" w:rsidP="00E52E72">
            <w:pPr>
              <w:spacing w:before="60" w:after="60" w:line="240" w:lineRule="auto"/>
              <w:jc w:val="both"/>
              <w:rPr>
                <w:rFonts w:ascii="Trebuchet MS" w:eastAsia="Calibri" w:hAnsi="Trebuchet MS" w:cs="Arial"/>
                <w:b/>
                <w:sz w:val="20"/>
                <w:szCs w:val="20"/>
                <w:lang w:val="ro-RO"/>
              </w:rPr>
            </w:pPr>
            <w:r w:rsidRPr="00E52E72">
              <w:rPr>
                <w:rFonts w:ascii="Trebuchet MS" w:eastAsia="Calibri" w:hAnsi="Trebuchet MS" w:cs="Arial"/>
                <w:b/>
                <w:sz w:val="20"/>
                <w:szCs w:val="20"/>
                <w:lang w:val="ro-RO"/>
              </w:rPr>
              <w:t xml:space="preserve">Acolo unde exista diferente intre documentele de proprietate/administrare prezentate la depunere si suprafetele identificate in documentatia tehnica, acestea vor fi identificate de evaluatori si in functie de documentele prezentate la depunere, daca </w:t>
            </w:r>
            <w:r w:rsidRPr="00E52E72">
              <w:rPr>
                <w:rFonts w:ascii="Trebuchet MS" w:eastAsia="Calibri" w:hAnsi="Trebuchet MS" w:cs="Arial"/>
                <w:b/>
                <w:sz w:val="20"/>
                <w:szCs w:val="20"/>
                <w:lang w:val="ro-RO"/>
              </w:rPr>
              <w:lastRenderedPageBreak/>
              <w:t>documentele nu sunt cuprinzatoare (nu exista documente pentru o parte din suprafetele afectate de lucrari) se va proceda dupa cum urmeaza:</w:t>
            </w:r>
          </w:p>
          <w:p w:rsidR="00E52E72" w:rsidRPr="00E52E72" w:rsidRDefault="00E52E72" w:rsidP="00E52E72">
            <w:pPr>
              <w:numPr>
                <w:ilvl w:val="0"/>
                <w:numId w:val="37"/>
              </w:numPr>
              <w:spacing w:before="60" w:after="60" w:line="240" w:lineRule="auto"/>
              <w:jc w:val="both"/>
              <w:rPr>
                <w:rFonts w:ascii="Trebuchet MS" w:eastAsia="Calibri" w:hAnsi="Trebuchet MS" w:cs="Arial"/>
                <w:sz w:val="20"/>
                <w:szCs w:val="20"/>
                <w:lang w:val="ro-RO"/>
              </w:rPr>
            </w:pPr>
            <w:r w:rsidRPr="00E52E72">
              <w:rPr>
                <w:rFonts w:ascii="Trebuchet MS" w:eastAsia="Calibri" w:hAnsi="Trebuchet MS" w:cs="Arial"/>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rsidR="00E52E72" w:rsidRPr="00E52E72" w:rsidRDefault="00E52E72" w:rsidP="00E52E72">
            <w:pPr>
              <w:numPr>
                <w:ilvl w:val="0"/>
                <w:numId w:val="37"/>
              </w:numPr>
              <w:spacing w:before="60" w:after="60" w:line="240" w:lineRule="auto"/>
              <w:jc w:val="both"/>
              <w:rPr>
                <w:rFonts w:ascii="Trebuchet MS" w:eastAsia="Calibri" w:hAnsi="Trebuchet MS" w:cs="Arial"/>
                <w:sz w:val="20"/>
                <w:szCs w:val="20"/>
                <w:lang w:val="ro-RO"/>
              </w:rPr>
            </w:pPr>
            <w:r w:rsidRPr="00E52E72">
              <w:rPr>
                <w:rFonts w:ascii="Trebuchet MS" w:eastAsia="Calibri" w:hAnsi="Trebuchet MS" w:cs="Arial"/>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w:t>
            </w:r>
            <w:r>
              <w:rPr>
                <w:rFonts w:ascii="Trebuchet MS" w:eastAsia="Calibri" w:hAnsi="Trebuchet MS" w:cs="Arial"/>
                <w:sz w:val="20"/>
                <w:szCs w:val="20"/>
                <w:lang w:val="ro-RO"/>
              </w:rPr>
              <w:t>ac</w:t>
            </w:r>
            <w:r w:rsidRPr="00E52E72">
              <w:rPr>
                <w:rFonts w:ascii="Trebuchet MS" w:eastAsia="Calibri" w:hAnsi="Trebuchet MS" w:cs="Arial"/>
                <w:sz w:val="20"/>
                <w:szCs w:val="20"/>
                <w:lang w:val="ro-RO"/>
              </w:rPr>
              <w:t>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r>
              <w:rPr>
                <w:rFonts w:ascii="Trebuchet MS" w:eastAsia="Calibri" w:hAnsi="Trebuchet MS" w:cs="Arial"/>
                <w:sz w:val="20"/>
                <w:szCs w:val="20"/>
                <w:lang w:val="ro-RO"/>
              </w:rPr>
              <w:t>.</w:t>
            </w:r>
          </w:p>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52E72" w:rsidRPr="00A83D28" w:rsidRDefault="00E52E72"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F01C6E">
      <w:pPr>
        <w:spacing w:before="60" w:afterLines="60" w:after="144"/>
        <w:ind w:left="-426" w:firstLine="426"/>
        <w:jc w:val="both"/>
        <w:rPr>
          <w:rFonts w:ascii="Trebuchet MS" w:eastAsia="Calibri" w:hAnsi="Trebuchet MS" w:cs="Arial"/>
          <w:i/>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046484" w:rsidRDefault="00046484" w:rsidP="0094609D">
      <w:pPr>
        <w:pStyle w:val="BodyText"/>
        <w:rPr>
          <w:rFonts w:eastAsiaTheme="minorHAnsi"/>
          <w:bCs w:val="0"/>
          <w:sz w:val="20"/>
          <w:szCs w:val="20"/>
        </w:rPr>
      </w:pPr>
    </w:p>
    <w:p w:rsidR="00046484" w:rsidRDefault="00046484" w:rsidP="0094609D">
      <w:pPr>
        <w:pStyle w:val="BodyText"/>
        <w:rPr>
          <w:rFonts w:eastAsiaTheme="minorHAnsi"/>
          <w:bCs w:val="0"/>
          <w:sz w:val="20"/>
          <w:szCs w:val="20"/>
        </w:rPr>
      </w:pPr>
    </w:p>
    <w:p w:rsidR="00046484" w:rsidRPr="00A83D28" w:rsidRDefault="00046484"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lastRenderedPageBreak/>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F86B3F">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 xml:space="preserve">proiectantul general </w:t>
            </w:r>
            <w:proofErr w:type="gramStart"/>
            <w:r w:rsidRPr="00A83D28">
              <w:rPr>
                <w:rFonts w:ascii="Trebuchet MS" w:hAnsi="Trebuchet MS" w:cs="Arial"/>
                <w:sz w:val="20"/>
                <w:szCs w:val="20"/>
              </w:rPr>
              <w:t>/  şeful</w:t>
            </w:r>
            <w:proofErr w:type="gramEnd"/>
            <w:r w:rsidRPr="00A83D28">
              <w:rPr>
                <w:rFonts w:ascii="Trebuchet MS" w:hAnsi="Trebuchet MS" w:cs="Arial"/>
                <w:sz w:val="20"/>
                <w:szCs w:val="20"/>
              </w:rPr>
              <w:t xml:space="preserve">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0F473F" w:rsidRPr="00A83D28" w:rsidTr="0094609D">
        <w:trPr>
          <w:trHeight w:val="338"/>
        </w:trPr>
        <w:tc>
          <w:tcPr>
            <w:tcW w:w="568" w:type="dxa"/>
          </w:tcPr>
          <w:p w:rsidR="000F473F" w:rsidRPr="00A83D28" w:rsidRDefault="000F473F" w:rsidP="0094609D">
            <w:pPr>
              <w:pStyle w:val="ListParagraph"/>
              <w:numPr>
                <w:ilvl w:val="0"/>
                <w:numId w:val="26"/>
              </w:numPr>
              <w:spacing w:before="60" w:after="60"/>
              <w:jc w:val="center"/>
              <w:rPr>
                <w:rFonts w:ascii="Trebuchet MS" w:hAnsi="Trebuchet MS" w:cs="Arial"/>
                <w:b/>
                <w:sz w:val="18"/>
                <w:szCs w:val="20"/>
                <w:lang w:val="ro-RO"/>
              </w:rPr>
            </w:pPr>
          </w:p>
        </w:tc>
        <w:tc>
          <w:tcPr>
            <w:tcW w:w="6804" w:type="dxa"/>
          </w:tcPr>
          <w:p w:rsidR="000F473F" w:rsidRPr="00A83D28" w:rsidRDefault="000F473F" w:rsidP="0094609D">
            <w:pPr>
              <w:spacing w:before="60" w:after="60"/>
              <w:jc w:val="both"/>
              <w:rPr>
                <w:rFonts w:ascii="Trebuchet MS" w:hAnsi="Trebuchet MS" w:cs="Arial"/>
                <w:sz w:val="20"/>
                <w:szCs w:val="20"/>
                <w:lang w:val="ro-RO"/>
              </w:rPr>
            </w:pPr>
            <w:r w:rsidRPr="000F473F">
              <w:rPr>
                <w:rFonts w:ascii="Trebuchet MS" w:eastAsia="Cambria" w:hAnsi="Trebuchet MS" w:cs="Times New Roman"/>
                <w:sz w:val="20"/>
                <w:szCs w:val="20"/>
              </w:rPr>
              <w:t>Documentele anexate la cererea de finantare care demonstreaza dreptul solicitantului/partenerilor de a executa lucrarile propuse, sunt cuprinzatoare fata de interventiile propuse a fi realizate prin proiect?</w:t>
            </w:r>
            <w:r w:rsidRPr="000F473F">
              <w:rPr>
                <w:rFonts w:ascii="Trebuchet MS" w:eastAsia="Cambria" w:hAnsi="Trebuchet MS" w:cs="Arial"/>
                <w:sz w:val="20"/>
                <w:szCs w:val="20"/>
                <w:lang w:val="ro-RO"/>
              </w:rPr>
              <w:t xml:space="preserve"> </w:t>
            </w:r>
            <w:r w:rsidRPr="000F473F">
              <w:rPr>
                <w:rFonts w:ascii="Trebuchet MS" w:eastAsia="Cambria" w:hAnsi="Trebuchet MS" w:cs="Arial"/>
                <w:b/>
                <w:sz w:val="20"/>
                <w:szCs w:val="20"/>
                <w:lang w:val="ro-RO"/>
              </w:rPr>
              <w:t>A se vedea NOTA 1</w:t>
            </w:r>
          </w:p>
        </w:tc>
        <w:tc>
          <w:tcPr>
            <w:tcW w:w="425" w:type="dxa"/>
          </w:tcPr>
          <w:p w:rsidR="000F473F" w:rsidRPr="00A83D28" w:rsidRDefault="000F473F" w:rsidP="0094609D">
            <w:pPr>
              <w:spacing w:before="60" w:after="60"/>
              <w:rPr>
                <w:rFonts w:ascii="Trebuchet MS" w:hAnsi="Trebuchet MS" w:cs="Arial"/>
                <w:sz w:val="20"/>
                <w:szCs w:val="20"/>
                <w:lang w:val="ro-RO"/>
              </w:rPr>
            </w:pPr>
          </w:p>
        </w:tc>
        <w:tc>
          <w:tcPr>
            <w:tcW w:w="436" w:type="dxa"/>
          </w:tcPr>
          <w:p w:rsidR="000F473F" w:rsidRPr="00A83D28" w:rsidRDefault="000F473F" w:rsidP="0094609D">
            <w:pPr>
              <w:spacing w:before="60" w:after="60"/>
              <w:rPr>
                <w:rFonts w:ascii="Trebuchet MS" w:hAnsi="Trebuchet MS" w:cs="Arial"/>
                <w:sz w:val="20"/>
                <w:szCs w:val="20"/>
                <w:lang w:val="ro-RO"/>
              </w:rPr>
            </w:pPr>
          </w:p>
        </w:tc>
        <w:tc>
          <w:tcPr>
            <w:tcW w:w="430" w:type="dxa"/>
          </w:tcPr>
          <w:p w:rsidR="000F473F" w:rsidRPr="00A83D28" w:rsidRDefault="000F473F" w:rsidP="0094609D">
            <w:pPr>
              <w:spacing w:before="60" w:after="60"/>
              <w:rPr>
                <w:rFonts w:ascii="Trebuchet MS" w:hAnsi="Trebuchet MS" w:cs="Arial"/>
                <w:sz w:val="20"/>
                <w:szCs w:val="20"/>
                <w:lang w:val="ro-RO"/>
              </w:rPr>
            </w:pPr>
          </w:p>
        </w:tc>
        <w:tc>
          <w:tcPr>
            <w:tcW w:w="1838" w:type="dxa"/>
          </w:tcPr>
          <w:p w:rsidR="000F473F" w:rsidRPr="00A83D28" w:rsidRDefault="000F473F" w:rsidP="0094609D">
            <w:pPr>
              <w:spacing w:before="60" w:after="60"/>
              <w:rPr>
                <w:rFonts w:ascii="Trebuchet MS" w:hAnsi="Trebuchet MS" w:cs="Arial"/>
                <w:sz w:val="16"/>
                <w:szCs w:val="16"/>
                <w:lang w:val="ro-RO"/>
              </w:rPr>
            </w:pPr>
          </w:p>
        </w:tc>
      </w:tr>
      <w:tr w:rsidR="000F473F" w:rsidRPr="00A83D28" w:rsidTr="0094609D">
        <w:trPr>
          <w:trHeight w:val="338"/>
        </w:trPr>
        <w:tc>
          <w:tcPr>
            <w:tcW w:w="568" w:type="dxa"/>
          </w:tcPr>
          <w:p w:rsidR="000F473F" w:rsidRPr="000F473F" w:rsidRDefault="000F473F" w:rsidP="000F473F">
            <w:pPr>
              <w:spacing w:before="60" w:after="60"/>
              <w:rPr>
                <w:rFonts w:ascii="Trebuchet MS" w:hAnsi="Trebuchet MS" w:cs="Arial"/>
                <w:b/>
                <w:sz w:val="18"/>
                <w:szCs w:val="20"/>
                <w:lang w:val="ro-RO"/>
              </w:rPr>
            </w:pPr>
          </w:p>
        </w:tc>
        <w:tc>
          <w:tcPr>
            <w:tcW w:w="6804" w:type="dxa"/>
          </w:tcPr>
          <w:p w:rsidR="000F473F" w:rsidRPr="000F473F"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NOTA 1. Acolo unde exista diferente intre documentele de proprietate/administrare prezentate la depunere si suprafetele identificate in documentatia tehnica, acestea vor fi identificate de evaluatori si in functie de documentele prezentate la depunere, daca documentele nu sunt cuprinzatoare (nu exista documente pentru o parte din suprafetele afectate de lucrari) se va proceda dupa cum urmeaza:</w:t>
            </w:r>
          </w:p>
          <w:p w:rsidR="000F473F" w:rsidRPr="000F473F"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1.</w:t>
            </w:r>
            <w:r w:rsidRPr="000F473F">
              <w:rPr>
                <w:rFonts w:ascii="Trebuchet MS" w:hAnsi="Trebuchet MS" w:cs="Arial"/>
                <w:sz w:val="20"/>
                <w:szCs w:val="20"/>
                <w:lang w:val="ro-RO"/>
              </w:rPr>
              <w:tab/>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rsidR="000F473F" w:rsidRPr="00A83D28" w:rsidRDefault="000F473F" w:rsidP="000F473F">
            <w:pPr>
              <w:spacing w:before="60" w:after="60"/>
              <w:jc w:val="both"/>
              <w:rPr>
                <w:rFonts w:ascii="Trebuchet MS" w:hAnsi="Trebuchet MS" w:cs="Arial"/>
                <w:sz w:val="20"/>
                <w:szCs w:val="20"/>
                <w:lang w:val="ro-RO"/>
              </w:rPr>
            </w:pPr>
            <w:r w:rsidRPr="000F473F">
              <w:rPr>
                <w:rFonts w:ascii="Trebuchet MS" w:hAnsi="Trebuchet MS" w:cs="Arial"/>
                <w:sz w:val="20"/>
                <w:szCs w:val="20"/>
                <w:lang w:val="ro-RO"/>
              </w:rPr>
              <w:t>2.</w:t>
            </w:r>
            <w:r w:rsidRPr="000F473F">
              <w:rPr>
                <w:rFonts w:ascii="Trebuchet MS" w:hAnsi="Trebuchet MS" w:cs="Arial"/>
                <w:sz w:val="20"/>
                <w:szCs w:val="20"/>
                <w:lang w:val="ro-RO"/>
              </w:rPr>
              <w:tab/>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 SF. </w:t>
            </w:r>
          </w:p>
        </w:tc>
        <w:tc>
          <w:tcPr>
            <w:tcW w:w="425" w:type="dxa"/>
          </w:tcPr>
          <w:p w:rsidR="000F473F" w:rsidRPr="00A83D28" w:rsidRDefault="000F473F" w:rsidP="0094609D">
            <w:pPr>
              <w:spacing w:before="60" w:after="60"/>
              <w:rPr>
                <w:rFonts w:ascii="Trebuchet MS" w:hAnsi="Trebuchet MS" w:cs="Arial"/>
                <w:sz w:val="20"/>
                <w:szCs w:val="20"/>
                <w:lang w:val="ro-RO"/>
              </w:rPr>
            </w:pPr>
          </w:p>
        </w:tc>
        <w:tc>
          <w:tcPr>
            <w:tcW w:w="436" w:type="dxa"/>
          </w:tcPr>
          <w:p w:rsidR="000F473F" w:rsidRPr="00A83D28" w:rsidRDefault="000F473F" w:rsidP="0094609D">
            <w:pPr>
              <w:spacing w:before="60" w:after="60"/>
              <w:rPr>
                <w:rFonts w:ascii="Trebuchet MS" w:hAnsi="Trebuchet MS" w:cs="Arial"/>
                <w:sz w:val="20"/>
                <w:szCs w:val="20"/>
                <w:lang w:val="ro-RO"/>
              </w:rPr>
            </w:pPr>
          </w:p>
        </w:tc>
        <w:tc>
          <w:tcPr>
            <w:tcW w:w="430" w:type="dxa"/>
          </w:tcPr>
          <w:p w:rsidR="000F473F" w:rsidRPr="00A83D28" w:rsidRDefault="000F473F" w:rsidP="0094609D">
            <w:pPr>
              <w:spacing w:before="60" w:after="60"/>
              <w:rPr>
                <w:rFonts w:ascii="Trebuchet MS" w:hAnsi="Trebuchet MS" w:cs="Arial"/>
                <w:sz w:val="20"/>
                <w:szCs w:val="20"/>
                <w:lang w:val="ro-RO"/>
              </w:rPr>
            </w:pPr>
          </w:p>
        </w:tc>
        <w:tc>
          <w:tcPr>
            <w:tcW w:w="1838" w:type="dxa"/>
          </w:tcPr>
          <w:p w:rsidR="000F473F" w:rsidRPr="00A83D28" w:rsidRDefault="000F473F"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94609D" w:rsidRPr="00A83D28" w:rsidRDefault="0094609D" w:rsidP="00F86B3F">
      <w:pPr>
        <w:spacing w:before="60" w:afterLines="60" w:after="144"/>
        <w:ind w:left="270"/>
        <w:jc w:val="both"/>
        <w:rPr>
          <w:rFonts w:ascii="Trebuchet MS" w:hAnsi="Trebuchet MS" w:cs="Arial"/>
          <w:i/>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SF:</w:t>
      </w: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3B430E" w:rsidRPr="00A83D28" w:rsidRDefault="003B430E" w:rsidP="003B430E">
      <w:pPr>
        <w:pStyle w:val="BodyText"/>
        <w:spacing w:before="60" w:afterLines="60" w:after="144"/>
        <w:rPr>
          <w:bCs w:val="0"/>
          <w:sz w:val="20"/>
          <w:szCs w:val="20"/>
        </w:rPr>
      </w:pPr>
      <w:bookmarkStart w:id="4" w:name="_GoBack"/>
      <w:bookmarkEnd w:id="4"/>
      <w:r w:rsidRPr="00A83D28">
        <w:rPr>
          <w:rFonts w:eastAsia="Calibri"/>
          <w:bCs w:val="0"/>
          <w:sz w:val="20"/>
          <w:szCs w:val="20"/>
        </w:rPr>
        <w:lastRenderedPageBreak/>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046484">
        <w:tc>
          <w:tcPr>
            <w:tcW w:w="10491" w:type="dxa"/>
            <w:gridSpan w:val="2"/>
            <w:shd w:val="clear" w:color="auto" w:fill="auto"/>
          </w:tcPr>
          <w:p w:rsidR="003B430E" w:rsidRPr="00A83D28" w:rsidRDefault="003B430E" w:rsidP="00046484">
            <w:pPr>
              <w:pStyle w:val="Title"/>
              <w:spacing w:before="60" w:after="60"/>
              <w:outlineLvl w:val="0"/>
              <w:rPr>
                <w:rFonts w:cs="Arial"/>
                <w:szCs w:val="20"/>
              </w:rPr>
            </w:pPr>
            <w:r w:rsidRPr="00A83D28">
              <w:rPr>
                <w:rFonts w:cs="Arial"/>
                <w:szCs w:val="20"/>
              </w:rPr>
              <w:t>Programul Operaţional Regional 2014-2020</w:t>
            </w: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046484">
            <w:pPr>
              <w:pStyle w:val="Title"/>
              <w:spacing w:before="60" w:after="60"/>
              <w:outlineLvl w:val="0"/>
              <w:rPr>
                <w:rFonts w:cs="Arial"/>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046484">
            <w:pPr>
              <w:pStyle w:val="Title"/>
              <w:spacing w:before="60" w:after="60"/>
              <w:outlineLvl w:val="0"/>
              <w:rPr>
                <w:rFonts w:cs="Arial"/>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046484">
            <w:pPr>
              <w:pStyle w:val="Title"/>
              <w:spacing w:before="60" w:after="60"/>
              <w:outlineLvl w:val="0"/>
              <w:rPr>
                <w:rFonts w:cs="Arial"/>
                <w:i/>
                <w:szCs w:val="20"/>
                <w:lang w:val="it-IT"/>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046484">
            <w:pPr>
              <w:pStyle w:val="Title"/>
              <w:spacing w:before="60" w:after="60"/>
              <w:outlineLvl w:val="0"/>
              <w:rPr>
                <w:rFonts w:cs="Arial"/>
                <w:szCs w:val="20"/>
              </w:rPr>
            </w:pPr>
          </w:p>
        </w:tc>
      </w:tr>
      <w:tr w:rsidR="00A83D28" w:rsidRPr="00A83D28" w:rsidTr="00046484">
        <w:tc>
          <w:tcPr>
            <w:tcW w:w="2694" w:type="dxa"/>
            <w:shd w:val="clear" w:color="auto" w:fill="auto"/>
          </w:tcPr>
          <w:p w:rsidR="003B430E" w:rsidRPr="00A83D28" w:rsidRDefault="003B430E" w:rsidP="00046484">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046484">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046484">
        <w:trPr>
          <w:cantSplit/>
          <w:trHeight w:val="624"/>
          <w:tblHeader/>
        </w:trPr>
        <w:tc>
          <w:tcPr>
            <w:tcW w:w="568"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046484">
        <w:trPr>
          <w:trHeight w:val="165"/>
        </w:trPr>
        <w:tc>
          <w:tcPr>
            <w:tcW w:w="568" w:type="dxa"/>
            <w:shd w:val="clear" w:color="auto" w:fill="76923C" w:themeFill="accent3" w:themeFillShade="BF"/>
          </w:tcPr>
          <w:p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2"/>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w:t>
            </w:r>
          </w:p>
        </w:tc>
        <w:tc>
          <w:tcPr>
            <w:tcW w:w="6804" w:type="dxa"/>
          </w:tcPr>
          <w:p w:rsidR="003B430E" w:rsidRPr="00A83D28" w:rsidRDefault="003B430E" w:rsidP="00046484">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046484">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906"/>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rsidR="003B430E" w:rsidRPr="00A83D28" w:rsidRDefault="003B430E" w:rsidP="00046484">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936"/>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shd w:val="clear" w:color="auto" w:fill="F2F2F2" w:themeFill="background1" w:themeFillShade="F2"/>
          </w:tcPr>
          <w:p w:rsidR="003B430E" w:rsidRPr="00A83D28" w:rsidRDefault="003B430E" w:rsidP="00046484">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4"/>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4</w:t>
            </w:r>
          </w:p>
        </w:tc>
        <w:tc>
          <w:tcPr>
            <w:tcW w:w="6804" w:type="dxa"/>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lastRenderedPageBreak/>
              <w:t>relevante</w:t>
            </w:r>
            <w:r w:rsidRPr="00A83D28">
              <w:rPr>
                <w:rFonts w:ascii="Trebuchet MS" w:hAnsi="Trebuchet MS" w:cs="Arial"/>
                <w:sz w:val="20"/>
                <w:szCs w:val="20"/>
                <w:lang w:val="ro-RO"/>
              </w:rPr>
              <w:t xml:space="preserve">  referitoare la constructia existenta, 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31"/>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5</w:t>
            </w:r>
          </w:p>
        </w:tc>
        <w:tc>
          <w:tcPr>
            <w:tcW w:w="6804" w:type="dxa"/>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w:t>
            </w:r>
            <w:r w:rsidRPr="00A83D28">
              <w:rPr>
                <w:rFonts w:ascii="Trebuchet MS" w:hAnsi="Trebuchet MS" w:cs="Arial"/>
                <w:sz w:val="20"/>
                <w:szCs w:val="20"/>
                <w:lang w:val="ro-RO"/>
              </w:rPr>
              <w:lastRenderedPageBreak/>
              <w:t xml:space="preserve">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2"/>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lastRenderedPageBreak/>
              <w:t>6</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89"/>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9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9</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10</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45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11</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85"/>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12</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6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13</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6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14</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10"/>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15</w:t>
            </w:r>
          </w:p>
        </w:tc>
        <w:tc>
          <w:tcPr>
            <w:tcW w:w="6804" w:type="dxa"/>
          </w:tcPr>
          <w:p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40"/>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16</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 xml:space="preserve">proiectantul general </w:t>
            </w:r>
            <w:proofErr w:type="gramStart"/>
            <w:r w:rsidRPr="00A83D28">
              <w:rPr>
                <w:rFonts w:ascii="Trebuchet MS" w:hAnsi="Trebuchet MS" w:cs="Arial"/>
                <w:sz w:val="20"/>
                <w:szCs w:val="20"/>
              </w:rPr>
              <w:t>/  şeful</w:t>
            </w:r>
            <w:proofErr w:type="gramEnd"/>
            <w:r w:rsidRPr="00A83D28">
              <w:rPr>
                <w:rFonts w:ascii="Trebuchet MS" w:hAnsi="Trebuchet MS" w:cs="Arial"/>
                <w:sz w:val="20"/>
                <w:szCs w:val="20"/>
              </w:rPr>
              <w:t xml:space="preserve">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38"/>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17</w:t>
            </w:r>
          </w:p>
        </w:tc>
        <w:tc>
          <w:tcPr>
            <w:tcW w:w="6804" w:type="dxa"/>
          </w:tcPr>
          <w:p w:rsidR="003B430E" w:rsidRPr="00A83D28" w:rsidRDefault="003B430E" w:rsidP="00046484">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338"/>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18</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F01C6E" w:rsidRPr="00A83D28" w:rsidTr="00046484">
        <w:trPr>
          <w:trHeight w:val="338"/>
        </w:trPr>
        <w:tc>
          <w:tcPr>
            <w:tcW w:w="568" w:type="dxa"/>
          </w:tcPr>
          <w:p w:rsid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 xml:space="preserve">19 </w:t>
            </w:r>
          </w:p>
        </w:tc>
        <w:tc>
          <w:tcPr>
            <w:tcW w:w="6804" w:type="dxa"/>
          </w:tcPr>
          <w:p w:rsidR="00F01C6E" w:rsidRPr="00A83D28" w:rsidRDefault="00F01C6E" w:rsidP="00046484">
            <w:pPr>
              <w:spacing w:before="60" w:after="60"/>
              <w:jc w:val="both"/>
              <w:rPr>
                <w:rFonts w:ascii="Trebuchet MS" w:hAnsi="Trebuchet MS" w:cs="Arial"/>
                <w:sz w:val="20"/>
                <w:szCs w:val="20"/>
                <w:lang w:val="ro-RO"/>
              </w:rPr>
            </w:pPr>
            <w:r w:rsidRPr="00F01C6E">
              <w:rPr>
                <w:rFonts w:ascii="Trebuchet MS" w:hAnsi="Trebuchet MS" w:cs="Arial"/>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rsidR="00F01C6E" w:rsidRPr="00A83D28" w:rsidRDefault="00F01C6E" w:rsidP="00046484">
            <w:pPr>
              <w:spacing w:before="60" w:after="60"/>
              <w:rPr>
                <w:rFonts w:ascii="Trebuchet MS" w:hAnsi="Trebuchet MS" w:cs="Arial"/>
                <w:sz w:val="20"/>
                <w:szCs w:val="20"/>
                <w:lang w:val="ro-RO"/>
              </w:rPr>
            </w:pPr>
          </w:p>
        </w:tc>
        <w:tc>
          <w:tcPr>
            <w:tcW w:w="436" w:type="dxa"/>
          </w:tcPr>
          <w:p w:rsidR="00F01C6E" w:rsidRPr="00A83D28" w:rsidRDefault="00F01C6E" w:rsidP="00046484">
            <w:pPr>
              <w:spacing w:before="60" w:after="60"/>
              <w:rPr>
                <w:rFonts w:ascii="Trebuchet MS" w:hAnsi="Trebuchet MS" w:cs="Arial"/>
                <w:sz w:val="20"/>
                <w:szCs w:val="20"/>
                <w:lang w:val="ro-RO"/>
              </w:rPr>
            </w:pPr>
          </w:p>
        </w:tc>
        <w:tc>
          <w:tcPr>
            <w:tcW w:w="540" w:type="dxa"/>
          </w:tcPr>
          <w:p w:rsidR="00F01C6E" w:rsidRPr="00A83D28" w:rsidRDefault="00F01C6E" w:rsidP="00046484">
            <w:pPr>
              <w:spacing w:before="60" w:after="60"/>
              <w:rPr>
                <w:rFonts w:ascii="Trebuchet MS" w:hAnsi="Trebuchet MS" w:cs="Arial"/>
                <w:sz w:val="20"/>
                <w:szCs w:val="20"/>
                <w:lang w:val="ro-RO"/>
              </w:rPr>
            </w:pPr>
          </w:p>
        </w:tc>
        <w:tc>
          <w:tcPr>
            <w:tcW w:w="1838" w:type="dxa"/>
          </w:tcPr>
          <w:p w:rsidR="00F01C6E" w:rsidRPr="00A83D28" w:rsidRDefault="00F01C6E" w:rsidP="00046484">
            <w:pPr>
              <w:spacing w:before="60" w:after="60"/>
              <w:rPr>
                <w:rFonts w:ascii="Trebuchet MS" w:hAnsi="Trebuchet MS" w:cs="Arial"/>
                <w:sz w:val="16"/>
                <w:szCs w:val="16"/>
                <w:lang w:val="ro-RO"/>
              </w:rPr>
            </w:pPr>
          </w:p>
        </w:tc>
      </w:tr>
      <w:tr w:rsidR="00F01C6E" w:rsidRPr="00A83D28" w:rsidTr="00046484">
        <w:trPr>
          <w:trHeight w:val="338"/>
        </w:trPr>
        <w:tc>
          <w:tcPr>
            <w:tcW w:w="568" w:type="dxa"/>
          </w:tcPr>
          <w:p w:rsidR="00F01C6E" w:rsidRDefault="00F01C6E" w:rsidP="00F01C6E">
            <w:pPr>
              <w:spacing w:before="60" w:after="60"/>
              <w:jc w:val="center"/>
              <w:rPr>
                <w:rFonts w:ascii="Trebuchet MS" w:hAnsi="Trebuchet MS" w:cs="Arial"/>
                <w:b/>
                <w:sz w:val="18"/>
                <w:szCs w:val="20"/>
                <w:lang w:val="ro-RO"/>
              </w:rPr>
            </w:pPr>
          </w:p>
        </w:tc>
        <w:tc>
          <w:tcPr>
            <w:tcW w:w="6804" w:type="dxa"/>
          </w:tcPr>
          <w:p w:rsidR="00F01C6E" w:rsidRPr="00F01C6E" w:rsidRDefault="00F01C6E" w:rsidP="00F01C6E">
            <w:pPr>
              <w:spacing w:before="60" w:after="60"/>
              <w:jc w:val="both"/>
              <w:rPr>
                <w:rFonts w:ascii="Trebuchet MS" w:hAnsi="Trebuchet MS" w:cs="Arial"/>
                <w:b/>
                <w:sz w:val="20"/>
                <w:szCs w:val="20"/>
                <w:lang w:val="ro-RO"/>
              </w:rPr>
            </w:pPr>
            <w:r w:rsidRPr="00F01C6E">
              <w:rPr>
                <w:rFonts w:ascii="Trebuchet MS" w:hAnsi="Trebuchet MS" w:cs="Arial"/>
                <w:b/>
                <w:sz w:val="20"/>
                <w:szCs w:val="20"/>
                <w:lang w:val="ro-RO"/>
              </w:rPr>
              <w:t xml:space="preserve">NOTA 1. </w:t>
            </w:r>
            <w:r w:rsidRPr="00F01C6E">
              <w:rPr>
                <w:rFonts w:ascii="Trebuchet MS" w:hAnsi="Trebuchet MS" w:cs="Arial"/>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01C6E">
              <w:rPr>
                <w:rFonts w:ascii="Trebuchet MS" w:hAnsi="Trebuchet MS" w:cs="Arial"/>
                <w:b/>
                <w:sz w:val="20"/>
                <w:szCs w:val="20"/>
                <w:lang w:val="ro-RO"/>
              </w:rPr>
              <w:t>.</w:t>
            </w:r>
          </w:p>
          <w:p w:rsidR="00F01C6E" w:rsidRPr="00A83D28" w:rsidRDefault="00F01C6E" w:rsidP="00F01C6E">
            <w:pPr>
              <w:spacing w:before="60" w:after="60"/>
              <w:jc w:val="both"/>
              <w:rPr>
                <w:rFonts w:ascii="Trebuchet MS" w:hAnsi="Trebuchet MS" w:cs="Arial"/>
                <w:sz w:val="20"/>
                <w:szCs w:val="20"/>
                <w:lang w:val="ro-RO"/>
              </w:rPr>
            </w:pPr>
            <w:r w:rsidRPr="00F01C6E">
              <w:rPr>
                <w:rFonts w:ascii="Trebuchet MS" w:hAnsi="Trebuchet MS" w:cs="Arial"/>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tc>
        <w:tc>
          <w:tcPr>
            <w:tcW w:w="425" w:type="dxa"/>
          </w:tcPr>
          <w:p w:rsidR="00F01C6E" w:rsidRPr="00A83D28" w:rsidRDefault="00F01C6E" w:rsidP="00046484">
            <w:pPr>
              <w:spacing w:before="60" w:after="60"/>
              <w:rPr>
                <w:rFonts w:ascii="Trebuchet MS" w:hAnsi="Trebuchet MS" w:cs="Arial"/>
                <w:sz w:val="20"/>
                <w:szCs w:val="20"/>
                <w:lang w:val="ro-RO"/>
              </w:rPr>
            </w:pPr>
          </w:p>
        </w:tc>
        <w:tc>
          <w:tcPr>
            <w:tcW w:w="436" w:type="dxa"/>
          </w:tcPr>
          <w:p w:rsidR="00F01C6E" w:rsidRPr="00A83D28" w:rsidRDefault="00F01C6E" w:rsidP="00046484">
            <w:pPr>
              <w:spacing w:before="60" w:after="60"/>
              <w:rPr>
                <w:rFonts w:ascii="Trebuchet MS" w:hAnsi="Trebuchet MS" w:cs="Arial"/>
                <w:sz w:val="20"/>
                <w:szCs w:val="20"/>
                <w:lang w:val="ro-RO"/>
              </w:rPr>
            </w:pPr>
          </w:p>
        </w:tc>
        <w:tc>
          <w:tcPr>
            <w:tcW w:w="540" w:type="dxa"/>
          </w:tcPr>
          <w:p w:rsidR="00F01C6E" w:rsidRPr="00A83D28" w:rsidRDefault="00F01C6E" w:rsidP="00046484">
            <w:pPr>
              <w:spacing w:before="60" w:after="60"/>
              <w:rPr>
                <w:rFonts w:ascii="Trebuchet MS" w:hAnsi="Trebuchet MS" w:cs="Arial"/>
                <w:sz w:val="20"/>
                <w:szCs w:val="20"/>
                <w:lang w:val="ro-RO"/>
              </w:rPr>
            </w:pPr>
          </w:p>
        </w:tc>
        <w:tc>
          <w:tcPr>
            <w:tcW w:w="1838" w:type="dxa"/>
          </w:tcPr>
          <w:p w:rsidR="00F01C6E" w:rsidRPr="00A83D28" w:rsidRDefault="00F01C6E" w:rsidP="00046484">
            <w:pPr>
              <w:spacing w:before="60" w:after="60"/>
              <w:rPr>
                <w:rFonts w:ascii="Trebuchet MS" w:hAnsi="Trebuchet MS" w:cs="Arial"/>
                <w:sz w:val="16"/>
                <w:szCs w:val="16"/>
                <w:lang w:val="ro-RO"/>
              </w:rPr>
            </w:pPr>
          </w:p>
        </w:tc>
      </w:tr>
      <w:tr w:rsidR="00A83D28" w:rsidRPr="00A83D28" w:rsidTr="00046484">
        <w:trPr>
          <w:trHeight w:val="373"/>
        </w:trPr>
        <w:tc>
          <w:tcPr>
            <w:tcW w:w="568" w:type="dxa"/>
            <w:shd w:val="clear" w:color="auto" w:fill="76923C" w:themeFill="accent3" w:themeFillShade="BF"/>
          </w:tcPr>
          <w:p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12"/>
        </w:trPr>
        <w:tc>
          <w:tcPr>
            <w:tcW w:w="568" w:type="dxa"/>
          </w:tcPr>
          <w:p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lastRenderedPageBreak/>
              <w:t>1</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593"/>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2</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046484">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4</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shd w:val="clear" w:color="auto" w:fill="F2F2F2" w:themeFill="background1" w:themeFillShade="F2"/>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5</w:t>
            </w:r>
          </w:p>
        </w:tc>
        <w:tc>
          <w:tcPr>
            <w:tcW w:w="6804" w:type="dxa"/>
            <w:shd w:val="clear" w:color="auto" w:fill="F2F2F2" w:themeFill="background1" w:themeFillShade="F2"/>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val="restart"/>
            <w:shd w:val="clear" w:color="auto" w:fill="auto"/>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6</w:t>
            </w:r>
          </w:p>
        </w:tc>
        <w:tc>
          <w:tcPr>
            <w:tcW w:w="6804" w:type="dxa"/>
            <w:shd w:val="clear" w:color="auto" w:fill="auto"/>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289"/>
        </w:trPr>
        <w:tc>
          <w:tcPr>
            <w:tcW w:w="568" w:type="dxa"/>
            <w:vMerge/>
            <w:shd w:val="clear" w:color="auto" w:fill="auto"/>
          </w:tcPr>
          <w:p w:rsidR="003B430E" w:rsidRPr="00A83D28" w:rsidRDefault="003B430E" w:rsidP="00046484">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97"/>
        </w:trPr>
        <w:tc>
          <w:tcPr>
            <w:tcW w:w="568" w:type="dxa"/>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046484">
            <w:pPr>
              <w:spacing w:before="60" w:after="60"/>
              <w:rPr>
                <w:rFonts w:ascii="Trebuchet MS" w:hAnsi="Trebuchet MS" w:cs="Arial"/>
                <w:sz w:val="20"/>
                <w:szCs w:val="20"/>
                <w:lang w:val="ro-RO"/>
              </w:rPr>
            </w:pPr>
          </w:p>
        </w:tc>
        <w:tc>
          <w:tcPr>
            <w:tcW w:w="436" w:type="dxa"/>
          </w:tcPr>
          <w:p w:rsidR="003B430E" w:rsidRPr="00A83D28" w:rsidRDefault="003B430E" w:rsidP="00046484">
            <w:pPr>
              <w:spacing w:before="60" w:after="60"/>
              <w:rPr>
                <w:rFonts w:ascii="Trebuchet MS" w:hAnsi="Trebuchet MS" w:cs="Arial"/>
                <w:sz w:val="20"/>
                <w:szCs w:val="20"/>
                <w:lang w:val="ro-RO"/>
              </w:rPr>
            </w:pPr>
          </w:p>
        </w:tc>
        <w:tc>
          <w:tcPr>
            <w:tcW w:w="540" w:type="dxa"/>
          </w:tcPr>
          <w:p w:rsidR="003B430E" w:rsidRPr="00A83D28" w:rsidRDefault="003B430E" w:rsidP="00046484">
            <w:pPr>
              <w:spacing w:before="60" w:after="60"/>
              <w:rPr>
                <w:rFonts w:ascii="Trebuchet MS" w:hAnsi="Trebuchet MS" w:cs="Arial"/>
                <w:sz w:val="20"/>
                <w:szCs w:val="20"/>
                <w:lang w:val="ro-RO"/>
              </w:rPr>
            </w:pPr>
          </w:p>
        </w:tc>
        <w:tc>
          <w:tcPr>
            <w:tcW w:w="1838" w:type="dxa"/>
          </w:tcPr>
          <w:p w:rsidR="003B430E" w:rsidRPr="00A83D28" w:rsidRDefault="003B430E" w:rsidP="00046484">
            <w:pPr>
              <w:spacing w:before="60" w:after="60"/>
              <w:rPr>
                <w:rFonts w:ascii="Trebuchet MS" w:hAnsi="Trebuchet MS" w:cs="Arial"/>
                <w:sz w:val="16"/>
                <w:szCs w:val="16"/>
                <w:lang w:val="ro-RO"/>
              </w:rPr>
            </w:pPr>
          </w:p>
        </w:tc>
      </w:tr>
      <w:tr w:rsidR="00A83D28" w:rsidRPr="00A83D28" w:rsidTr="00046484">
        <w:trPr>
          <w:trHeight w:val="185"/>
        </w:trPr>
        <w:tc>
          <w:tcPr>
            <w:tcW w:w="568" w:type="dxa"/>
            <w:shd w:val="clear" w:color="auto" w:fill="D9D9D9" w:themeFill="background1" w:themeFillShade="D9"/>
          </w:tcPr>
          <w:p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shd w:val="clear" w:color="auto" w:fill="D9D9D9" w:themeFill="background1" w:themeFillShade="D9"/>
          </w:tcPr>
          <w:p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046484">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046484">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lastRenderedPageBreak/>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BA8" w:rsidRDefault="00EE0BA8" w:rsidP="002164BC">
      <w:pPr>
        <w:spacing w:after="0" w:line="240" w:lineRule="auto"/>
      </w:pPr>
      <w:r>
        <w:separator/>
      </w:r>
    </w:p>
  </w:endnote>
  <w:endnote w:type="continuationSeparator" w:id="0">
    <w:p w:rsidR="00EE0BA8" w:rsidRDefault="00EE0BA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BA8" w:rsidRDefault="00EE0BA8" w:rsidP="002164BC">
      <w:pPr>
        <w:spacing w:after="0" w:line="240" w:lineRule="auto"/>
      </w:pPr>
      <w:r>
        <w:separator/>
      </w:r>
    </w:p>
  </w:footnote>
  <w:footnote w:type="continuationSeparator" w:id="0">
    <w:p w:rsidR="00EE0BA8" w:rsidRDefault="00EE0BA8" w:rsidP="002164BC">
      <w:pPr>
        <w:spacing w:after="0" w:line="240" w:lineRule="auto"/>
      </w:pPr>
      <w:r>
        <w:continuationSeparator/>
      </w:r>
    </w:p>
  </w:footnote>
  <w:footnote w:id="1">
    <w:p w:rsidR="00046484" w:rsidRPr="00D5422A" w:rsidRDefault="00046484"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10"/>
  </w:num>
  <w:num w:numId="3">
    <w:abstractNumId w:val="24"/>
  </w:num>
  <w:num w:numId="4">
    <w:abstractNumId w:val="11"/>
  </w:num>
  <w:num w:numId="5">
    <w:abstractNumId w:val="5"/>
  </w:num>
  <w:num w:numId="6">
    <w:abstractNumId w:val="18"/>
  </w:num>
  <w:num w:numId="7">
    <w:abstractNumId w:val="14"/>
  </w:num>
  <w:num w:numId="8">
    <w:abstractNumId w:val="1"/>
  </w:num>
  <w:num w:numId="9">
    <w:abstractNumId w:val="36"/>
  </w:num>
  <w:num w:numId="10">
    <w:abstractNumId w:val="32"/>
  </w:num>
  <w:num w:numId="11">
    <w:abstractNumId w:val="0"/>
  </w:num>
  <w:num w:numId="12">
    <w:abstractNumId w:val="12"/>
  </w:num>
  <w:num w:numId="13">
    <w:abstractNumId w:val="34"/>
  </w:num>
  <w:num w:numId="14">
    <w:abstractNumId w:val="19"/>
  </w:num>
  <w:num w:numId="15">
    <w:abstractNumId w:val="33"/>
  </w:num>
  <w:num w:numId="16">
    <w:abstractNumId w:val="17"/>
  </w:num>
  <w:num w:numId="17">
    <w:abstractNumId w:val="2"/>
  </w:num>
  <w:num w:numId="18">
    <w:abstractNumId w:val="15"/>
  </w:num>
  <w:num w:numId="19">
    <w:abstractNumId w:val="27"/>
  </w:num>
  <w:num w:numId="20">
    <w:abstractNumId w:val="3"/>
  </w:num>
  <w:num w:numId="21">
    <w:abstractNumId w:val="21"/>
  </w:num>
  <w:num w:numId="22">
    <w:abstractNumId w:val="4"/>
  </w:num>
  <w:num w:numId="23">
    <w:abstractNumId w:val="9"/>
  </w:num>
  <w:num w:numId="24">
    <w:abstractNumId w:val="16"/>
  </w:num>
  <w:num w:numId="25">
    <w:abstractNumId w:val="7"/>
  </w:num>
  <w:num w:numId="26">
    <w:abstractNumId w:val="30"/>
  </w:num>
  <w:num w:numId="27">
    <w:abstractNumId w:val="31"/>
  </w:num>
  <w:num w:numId="28">
    <w:abstractNumId w:val="25"/>
  </w:num>
  <w:num w:numId="29">
    <w:abstractNumId w:val="26"/>
  </w:num>
  <w:num w:numId="30">
    <w:abstractNumId w:val="8"/>
  </w:num>
  <w:num w:numId="31">
    <w:abstractNumId w:val="29"/>
  </w:num>
  <w:num w:numId="32">
    <w:abstractNumId w:val="13"/>
  </w:num>
  <w:num w:numId="33">
    <w:abstractNumId w:val="22"/>
  </w:num>
  <w:num w:numId="34">
    <w:abstractNumId w:val="35"/>
  </w:num>
  <w:num w:numId="35">
    <w:abstractNumId w:val="20"/>
  </w:num>
  <w:num w:numId="36">
    <w:abstractNumId w:val="2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46484"/>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473F"/>
    <w:rsid w:val="000F7758"/>
    <w:rsid w:val="00103594"/>
    <w:rsid w:val="001060D7"/>
    <w:rsid w:val="00120B76"/>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66EC"/>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2A4C"/>
    <w:rsid w:val="008F76F4"/>
    <w:rsid w:val="00904056"/>
    <w:rsid w:val="00906FFE"/>
    <w:rsid w:val="00913651"/>
    <w:rsid w:val="00914F78"/>
    <w:rsid w:val="00923362"/>
    <w:rsid w:val="009242C5"/>
    <w:rsid w:val="00925CF8"/>
    <w:rsid w:val="00927EC8"/>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4967"/>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2229"/>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C1831"/>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2E72"/>
    <w:rsid w:val="00E54B3E"/>
    <w:rsid w:val="00E61367"/>
    <w:rsid w:val="00E62847"/>
    <w:rsid w:val="00E67B5B"/>
    <w:rsid w:val="00E71BD8"/>
    <w:rsid w:val="00E73E5F"/>
    <w:rsid w:val="00E83F30"/>
    <w:rsid w:val="00E83F7F"/>
    <w:rsid w:val="00E84D2D"/>
    <w:rsid w:val="00E92A15"/>
    <w:rsid w:val="00EA155F"/>
    <w:rsid w:val="00EA15D4"/>
    <w:rsid w:val="00EA21CD"/>
    <w:rsid w:val="00EA3F27"/>
    <w:rsid w:val="00EB13CF"/>
    <w:rsid w:val="00EB2CB7"/>
    <w:rsid w:val="00EB3070"/>
    <w:rsid w:val="00EB67CC"/>
    <w:rsid w:val="00EC336B"/>
    <w:rsid w:val="00EC3B08"/>
    <w:rsid w:val="00EC6825"/>
    <w:rsid w:val="00ED3CA9"/>
    <w:rsid w:val="00ED621B"/>
    <w:rsid w:val="00EE0BA8"/>
    <w:rsid w:val="00EE2A6E"/>
    <w:rsid w:val="00EF080E"/>
    <w:rsid w:val="00EF1ED7"/>
    <w:rsid w:val="00F01C6E"/>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81DED"/>
    <w:rsid w:val="00F830EB"/>
    <w:rsid w:val="00F86B3F"/>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6918C"/>
  <w15:docId w15:val="{D65F8ABE-660C-4067-9020-45A9AD3A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E138C-4DE0-48CF-A355-D41BFD6C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25</Pages>
  <Words>9943</Words>
  <Characters>56677</Characters>
  <Application>Microsoft Office Word</Application>
  <DocSecurity>0</DocSecurity>
  <Lines>472</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4</cp:revision>
  <cp:lastPrinted>2017-07-28T11:08:00Z</cp:lastPrinted>
  <dcterms:created xsi:type="dcterms:W3CDTF">2017-07-11T08:30:00Z</dcterms:created>
  <dcterms:modified xsi:type="dcterms:W3CDTF">2017-07-28T12:01:00Z</dcterms:modified>
</cp:coreProperties>
</file>